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359" w:rsidRPr="00987493" w:rsidRDefault="005975B4" w:rsidP="005975B4">
      <w:pPr>
        <w:pStyle w:val="a3"/>
        <w:ind w:left="0"/>
        <w:jc w:val="right"/>
        <w:rPr>
          <w:noProof/>
          <w:lang w:val="kk-KZ"/>
        </w:rPr>
      </w:pPr>
      <w:r w:rsidRPr="00987493">
        <w:rPr>
          <w:b/>
          <w:bCs/>
          <w:noProof/>
          <w:lang w:val="kk-KZ"/>
        </w:rPr>
        <w:t>Ф КеАҚ «ҚМУ» 7-2-03/1</w:t>
      </w:r>
    </w:p>
    <w:p w:rsidR="005975B4" w:rsidRPr="00987493" w:rsidRDefault="005975B4" w:rsidP="00B31359">
      <w:pPr>
        <w:pStyle w:val="a3"/>
        <w:ind w:left="0"/>
        <w:jc w:val="center"/>
        <w:rPr>
          <w:noProof/>
          <w:lang w:val="kk-KZ"/>
        </w:rPr>
      </w:pPr>
    </w:p>
    <w:p w:rsidR="005975B4" w:rsidRPr="00987493" w:rsidRDefault="005975B4" w:rsidP="00B31359">
      <w:pPr>
        <w:pStyle w:val="a3"/>
        <w:ind w:left="0"/>
        <w:jc w:val="center"/>
        <w:rPr>
          <w:noProof/>
          <w:lang w:val="kk-KZ"/>
        </w:rPr>
      </w:pPr>
    </w:p>
    <w:p w:rsidR="005D20FE" w:rsidRPr="00987493" w:rsidRDefault="005D20FE" w:rsidP="005975B4">
      <w:pPr>
        <w:pStyle w:val="a3"/>
        <w:ind w:left="0"/>
        <w:jc w:val="center"/>
        <w:rPr>
          <w:noProof/>
          <w:lang w:val="kk-KZ"/>
        </w:rPr>
      </w:pPr>
      <w:r w:rsidRPr="00987493">
        <w:rPr>
          <w:noProof/>
          <w:lang w:val="kk-KZ"/>
        </w:rPr>
        <w:t xml:space="preserve">Коммерциялық емес акционерлік қоғам </w:t>
      </w:r>
    </w:p>
    <w:p w:rsidR="00E20649" w:rsidRPr="00987493" w:rsidRDefault="005975B4" w:rsidP="005975B4">
      <w:pPr>
        <w:pStyle w:val="a3"/>
        <w:ind w:left="0"/>
        <w:jc w:val="center"/>
        <w:rPr>
          <w:noProof/>
          <w:lang w:val="kk-KZ"/>
        </w:rPr>
      </w:pPr>
      <w:r w:rsidRPr="00987493">
        <w:rPr>
          <w:noProof/>
          <w:lang w:val="kk-KZ"/>
        </w:rPr>
        <w:t>«Қарағанды медициналық университеті»</w:t>
      </w: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spacing w:before="4"/>
        <w:ind w:left="0"/>
        <w:jc w:val="left"/>
        <w:rPr>
          <w:noProof/>
          <w:lang w:val="kk-KZ"/>
        </w:rPr>
      </w:pPr>
    </w:p>
    <w:p w:rsidR="005D20FE" w:rsidRPr="005D20FE" w:rsidRDefault="005D20FE" w:rsidP="005D20FE">
      <w:pPr>
        <w:widowControl/>
        <w:autoSpaceDE/>
        <w:autoSpaceDN/>
        <w:jc w:val="center"/>
        <w:rPr>
          <w:rFonts w:eastAsia="SimSun"/>
          <w:bCs/>
          <w:noProof/>
          <w:sz w:val="28"/>
          <w:szCs w:val="28"/>
          <w:lang w:val="kk-KZ"/>
        </w:rPr>
      </w:pPr>
      <w:r w:rsidRPr="005D20FE">
        <w:rPr>
          <w:rFonts w:eastAsia="SimSun"/>
          <w:bCs/>
          <w:noProof/>
          <w:sz w:val="28"/>
          <w:szCs w:val="28"/>
          <w:lang w:val="kk-KZ"/>
        </w:rPr>
        <w:t xml:space="preserve">Философия докторы (PhD) дәрежесін </w:t>
      </w:r>
    </w:p>
    <w:p w:rsidR="005D20FE" w:rsidRPr="005D20FE" w:rsidRDefault="005D20FE" w:rsidP="005D20FE">
      <w:pPr>
        <w:widowControl/>
        <w:autoSpaceDE/>
        <w:autoSpaceDN/>
        <w:jc w:val="center"/>
        <w:rPr>
          <w:rFonts w:eastAsia="SimSun"/>
          <w:bCs/>
          <w:noProof/>
          <w:sz w:val="28"/>
          <w:szCs w:val="28"/>
          <w:lang w:val="kk-KZ"/>
        </w:rPr>
      </w:pPr>
      <w:r w:rsidRPr="005D20FE">
        <w:rPr>
          <w:rFonts w:eastAsia="SimSun"/>
          <w:bCs/>
          <w:noProof/>
          <w:sz w:val="28"/>
          <w:szCs w:val="28"/>
          <w:lang w:val="kk-KZ"/>
        </w:rPr>
        <w:t xml:space="preserve">алу үшін диссертациялық жұмыстың </w:t>
      </w:r>
    </w:p>
    <w:p w:rsidR="005D20FE" w:rsidRPr="005D20FE" w:rsidRDefault="005D20FE" w:rsidP="005D20FE">
      <w:pPr>
        <w:widowControl/>
        <w:autoSpaceDE/>
        <w:autoSpaceDN/>
        <w:jc w:val="center"/>
        <w:rPr>
          <w:rFonts w:eastAsia="SimSun"/>
          <w:b/>
          <w:noProof/>
          <w:sz w:val="28"/>
          <w:szCs w:val="28"/>
          <w:lang w:val="kk-KZ"/>
        </w:rPr>
      </w:pPr>
    </w:p>
    <w:p w:rsidR="005D20FE" w:rsidRPr="005D20FE" w:rsidRDefault="005D20FE" w:rsidP="005D20FE">
      <w:pPr>
        <w:widowControl/>
        <w:autoSpaceDE/>
        <w:autoSpaceDN/>
        <w:jc w:val="center"/>
        <w:rPr>
          <w:rFonts w:eastAsia="SimSun"/>
          <w:bCs/>
          <w:noProof/>
          <w:sz w:val="28"/>
          <w:szCs w:val="28"/>
          <w:lang w:val="kk-KZ"/>
        </w:rPr>
      </w:pPr>
      <w:r w:rsidRPr="005D20FE">
        <w:rPr>
          <w:rFonts w:eastAsia="SimSun"/>
          <w:b/>
          <w:noProof/>
          <w:sz w:val="28"/>
          <w:szCs w:val="28"/>
          <w:lang w:val="kk-KZ"/>
        </w:rPr>
        <w:t>Аннотациясы</w:t>
      </w:r>
    </w:p>
    <w:p w:rsidR="005975B4" w:rsidRPr="00987493" w:rsidRDefault="005975B4" w:rsidP="005975B4">
      <w:pPr>
        <w:pStyle w:val="a3"/>
        <w:spacing w:before="6"/>
        <w:ind w:left="0"/>
        <w:jc w:val="center"/>
        <w:rPr>
          <w:noProof/>
          <w:lang w:val="kk-KZ"/>
        </w:rPr>
      </w:pPr>
    </w:p>
    <w:p w:rsidR="00497127" w:rsidRPr="00987493" w:rsidRDefault="00497127" w:rsidP="00497127">
      <w:pPr>
        <w:widowControl/>
        <w:autoSpaceDE/>
        <w:autoSpaceDN/>
        <w:jc w:val="center"/>
        <w:rPr>
          <w:rFonts w:eastAsia="Calibri"/>
          <w:b/>
          <w:noProof/>
          <w:sz w:val="28"/>
          <w:szCs w:val="28"/>
          <w:lang w:val="kk-KZ"/>
        </w:rPr>
      </w:pPr>
      <w:r w:rsidRPr="00987493">
        <w:rPr>
          <w:rFonts w:eastAsia="Calibri"/>
          <w:b/>
          <w:noProof/>
          <w:sz w:val="28"/>
          <w:szCs w:val="28"/>
          <w:lang w:val="kk-KZ"/>
        </w:rPr>
        <w:t>«</w:t>
      </w:r>
      <w:r w:rsidR="005975B4" w:rsidRPr="00987493">
        <w:rPr>
          <w:rFonts w:eastAsia="Calibri"/>
          <w:b/>
          <w:noProof/>
          <w:sz w:val="28"/>
          <w:szCs w:val="28"/>
          <w:lang w:val="kk-KZ"/>
        </w:rPr>
        <w:t>Коморбидті науқастардағы COVID-19 инфекциясының ауыр ағымының клиникалық-зертханалық предикторлары, терапияның фармакоэкономикалық бағалануы және динамикалық бақылауды оңтайландыру</w:t>
      </w:r>
      <w:r w:rsidRPr="00987493">
        <w:rPr>
          <w:rFonts w:eastAsia="Calibri"/>
          <w:b/>
          <w:noProof/>
          <w:sz w:val="28"/>
          <w:szCs w:val="28"/>
          <w:lang w:val="kk-KZ"/>
        </w:rPr>
        <w:t>»</w:t>
      </w:r>
    </w:p>
    <w:p w:rsidR="00497127" w:rsidRPr="00987493" w:rsidRDefault="00497127" w:rsidP="00497127">
      <w:pPr>
        <w:widowControl/>
        <w:autoSpaceDE/>
        <w:autoSpaceDN/>
        <w:jc w:val="center"/>
        <w:rPr>
          <w:rFonts w:eastAsia="Calibri"/>
          <w:noProof/>
          <w:sz w:val="28"/>
          <w:szCs w:val="28"/>
          <w:lang w:val="kk-KZ"/>
        </w:rPr>
      </w:pPr>
    </w:p>
    <w:p w:rsidR="00497127" w:rsidRPr="00987493" w:rsidRDefault="00497127" w:rsidP="00497127">
      <w:pPr>
        <w:widowControl/>
        <w:autoSpaceDE/>
        <w:autoSpaceDN/>
        <w:jc w:val="center"/>
        <w:rPr>
          <w:rFonts w:eastAsia="Calibri"/>
          <w:noProof/>
          <w:sz w:val="28"/>
          <w:szCs w:val="28"/>
          <w:lang w:val="kk-KZ"/>
        </w:rPr>
      </w:pPr>
      <w:r w:rsidRPr="00987493">
        <w:rPr>
          <w:rFonts w:eastAsia="Calibri"/>
          <w:noProof/>
          <w:sz w:val="28"/>
          <w:szCs w:val="28"/>
          <w:lang w:val="kk-KZ"/>
        </w:rPr>
        <w:t xml:space="preserve"> </w:t>
      </w:r>
      <w:r w:rsidR="005975B4" w:rsidRPr="00987493">
        <w:rPr>
          <w:rFonts w:eastAsia="Calibri"/>
          <w:noProof/>
          <w:sz w:val="28"/>
          <w:szCs w:val="28"/>
          <w:lang w:val="kk-KZ"/>
        </w:rPr>
        <w:t>Білім беру бағдарламасы: 8D10100 «Медицина»</w:t>
      </w: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5975B4" w:rsidRPr="00987493" w:rsidRDefault="005975B4" w:rsidP="005975B4">
      <w:pPr>
        <w:pStyle w:val="a3"/>
        <w:ind w:left="4820"/>
        <w:rPr>
          <w:rFonts w:eastAsia="Calibri"/>
          <w:noProof/>
          <w:lang w:val="kk-KZ"/>
        </w:rPr>
      </w:pPr>
      <w:r w:rsidRPr="00987493">
        <w:rPr>
          <w:rFonts w:eastAsia="Calibri"/>
          <w:b/>
          <w:bCs/>
          <w:noProof/>
          <w:lang w:val="kk-KZ"/>
        </w:rPr>
        <w:t>Ғылыми кеңесшілер:</w:t>
      </w:r>
    </w:p>
    <w:p w:rsidR="005975B4" w:rsidRPr="00987493" w:rsidRDefault="005975B4" w:rsidP="005975B4">
      <w:pPr>
        <w:pStyle w:val="a3"/>
        <w:ind w:left="4820"/>
        <w:rPr>
          <w:rFonts w:eastAsia="Calibri"/>
          <w:noProof/>
          <w:lang w:val="kk-KZ"/>
        </w:rPr>
      </w:pPr>
      <w:r w:rsidRPr="00987493">
        <w:rPr>
          <w:rFonts w:eastAsia="Calibri"/>
          <w:noProof/>
          <w:lang w:val="kk-KZ"/>
        </w:rPr>
        <w:t>Медицина ғылымдарының докторы, профессор</w:t>
      </w:r>
      <w:r w:rsidRPr="00987493">
        <w:rPr>
          <w:rFonts w:eastAsia="Calibri"/>
          <w:noProof/>
          <w:lang w:val="kk-KZ"/>
        </w:rPr>
        <w:br/>
        <w:t>Кошерова Бахыт Нургалиевна</w:t>
      </w:r>
    </w:p>
    <w:p w:rsidR="005975B4" w:rsidRPr="00987493" w:rsidRDefault="005975B4" w:rsidP="005975B4">
      <w:pPr>
        <w:pStyle w:val="a3"/>
        <w:ind w:left="4820"/>
        <w:rPr>
          <w:rFonts w:eastAsia="Calibri"/>
          <w:noProof/>
          <w:lang w:val="kk-KZ"/>
        </w:rPr>
      </w:pPr>
      <w:r w:rsidRPr="00987493">
        <w:rPr>
          <w:rFonts w:eastAsia="Calibri"/>
          <w:noProof/>
          <w:lang w:val="kk-KZ"/>
        </w:rPr>
        <w:t>PhD, қауымдастырылған профессор</w:t>
      </w:r>
      <w:r w:rsidRPr="00987493">
        <w:rPr>
          <w:rFonts w:eastAsia="Calibri"/>
          <w:noProof/>
          <w:lang w:val="kk-KZ"/>
        </w:rPr>
        <w:br/>
        <w:t>Жунусов Ержан Сейполович</w:t>
      </w:r>
    </w:p>
    <w:p w:rsidR="005D20FE" w:rsidRPr="00987493" w:rsidRDefault="005D20FE" w:rsidP="005975B4">
      <w:pPr>
        <w:pStyle w:val="a3"/>
        <w:ind w:left="4820"/>
        <w:rPr>
          <w:rFonts w:eastAsia="Calibri"/>
          <w:b/>
          <w:noProof/>
          <w:lang w:val="kk-KZ"/>
        </w:rPr>
      </w:pPr>
      <w:r w:rsidRPr="00987493">
        <w:rPr>
          <w:rFonts w:eastAsia="Calibri"/>
          <w:b/>
          <w:noProof/>
          <w:lang w:val="kk-KZ"/>
        </w:rPr>
        <w:t>Шетелдік ғылыми кеңесші:</w:t>
      </w:r>
    </w:p>
    <w:p w:rsidR="005975B4" w:rsidRPr="00987493" w:rsidRDefault="005975B4" w:rsidP="005975B4">
      <w:pPr>
        <w:pStyle w:val="a3"/>
        <w:ind w:left="4820"/>
        <w:rPr>
          <w:rFonts w:eastAsia="Calibri"/>
          <w:noProof/>
          <w:lang w:val="kk-KZ"/>
        </w:rPr>
      </w:pPr>
      <w:r w:rsidRPr="00987493">
        <w:rPr>
          <w:rFonts w:eastAsia="Calibri"/>
          <w:noProof/>
          <w:lang w:val="kk-KZ"/>
        </w:rPr>
        <w:t>Медицина ғылымдарының докторы, қауымдастырылған профессор</w:t>
      </w:r>
      <w:r w:rsidRPr="00987493">
        <w:rPr>
          <w:rFonts w:eastAsia="Calibri"/>
          <w:noProof/>
          <w:lang w:val="kk-KZ"/>
        </w:rPr>
        <w:br/>
        <w:t>Плэчинтэ Георгий Петрович</w:t>
      </w:r>
    </w:p>
    <w:p w:rsidR="00E20649" w:rsidRPr="00987493" w:rsidRDefault="00E20649" w:rsidP="00257A9A">
      <w:pPr>
        <w:pStyle w:val="a3"/>
        <w:ind w:left="482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ind w:left="0"/>
        <w:jc w:val="left"/>
        <w:rPr>
          <w:noProof/>
          <w:lang w:val="kk-KZ"/>
        </w:rPr>
      </w:pPr>
    </w:p>
    <w:p w:rsidR="00E20649" w:rsidRPr="00987493" w:rsidRDefault="00E20649">
      <w:pPr>
        <w:pStyle w:val="a3"/>
        <w:spacing w:before="1"/>
        <w:ind w:left="0"/>
        <w:jc w:val="left"/>
        <w:rPr>
          <w:noProof/>
          <w:lang w:val="kk-KZ"/>
        </w:rPr>
      </w:pPr>
    </w:p>
    <w:p w:rsidR="001763C1" w:rsidRPr="00987493" w:rsidRDefault="001763C1">
      <w:pPr>
        <w:pStyle w:val="a3"/>
        <w:ind w:left="0" w:right="134"/>
        <w:jc w:val="center"/>
        <w:rPr>
          <w:noProof/>
          <w:lang w:val="kk-KZ"/>
        </w:rPr>
      </w:pPr>
    </w:p>
    <w:p w:rsidR="00E20649" w:rsidRPr="00987493" w:rsidRDefault="005975B4">
      <w:pPr>
        <w:pStyle w:val="a3"/>
        <w:jc w:val="center"/>
        <w:rPr>
          <w:b/>
          <w:noProof/>
          <w:lang w:val="kk-KZ"/>
        </w:rPr>
        <w:sectPr w:rsidR="00E20649" w:rsidRPr="00987493" w:rsidSect="001763C1">
          <w:type w:val="continuous"/>
          <w:pgSz w:w="11900" w:h="16850"/>
          <w:pgMar w:top="1134" w:right="708" w:bottom="1134" w:left="1700" w:header="720" w:footer="720" w:gutter="0"/>
          <w:cols w:space="720"/>
        </w:sectPr>
      </w:pPr>
      <w:r w:rsidRPr="00987493">
        <w:rPr>
          <w:b/>
          <w:noProof/>
          <w:lang w:val="kk-KZ"/>
        </w:rPr>
        <w:t>Қарағанды, 2026 жыл</w:t>
      </w:r>
    </w:p>
    <w:p w:rsidR="005975B4" w:rsidRPr="00987493" w:rsidRDefault="005975B4" w:rsidP="005975B4">
      <w:pPr>
        <w:widowControl/>
        <w:tabs>
          <w:tab w:val="left" w:pos="993"/>
        </w:tabs>
        <w:autoSpaceDE/>
        <w:autoSpaceDN/>
        <w:rPr>
          <w:b/>
          <w:bCs/>
          <w:noProof/>
          <w:sz w:val="28"/>
          <w:szCs w:val="28"/>
          <w:lang w:val="kk-KZ"/>
        </w:rPr>
      </w:pPr>
      <w:r w:rsidRPr="00987493">
        <w:rPr>
          <w:b/>
          <w:bCs/>
          <w:noProof/>
          <w:sz w:val="28"/>
          <w:szCs w:val="28"/>
          <w:lang w:val="kk-KZ"/>
        </w:rPr>
        <w:lastRenderedPageBreak/>
        <w:t>Зерттеудің өзектілігі</w:t>
      </w:r>
    </w:p>
    <w:p w:rsidR="005975B4" w:rsidRPr="00987493" w:rsidRDefault="005975B4" w:rsidP="005975B4">
      <w:pPr>
        <w:widowControl/>
        <w:tabs>
          <w:tab w:val="left" w:pos="993"/>
        </w:tabs>
        <w:autoSpaceDE/>
        <w:autoSpaceDN/>
        <w:rPr>
          <w:b/>
          <w:bCs/>
          <w:noProof/>
          <w:sz w:val="28"/>
          <w:szCs w:val="28"/>
          <w:lang w:val="kk-KZ"/>
        </w:rPr>
      </w:pP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SARS-CoV-2 вирусымен шақырылатын COVID-19 коронавирустық инфекциясы пандемияның ресми түрде аяқталғанына қарамастан, 2024–2025 жылдары да жоғары медициналық-әлеуметтік және клиникалық маңыздылығын сақтап отыр. Бұл жағдай SARS-CoV-2 вирусының айналымының жалғасуымен, оның жоғары трансмиссивтілікке ие жаңа варианттарды түзу қабілетімен, қайта жұқтыру жағдайлары жиілігінің артуымен және пациенттердің денсаулық жағдайына ұзақ мерзімді теріс әсер ететін асқынулардың дамуымен байланысты [1–4].</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COVID-19 пандемиясы жаһандық денсаулық сақтау жүйесіне және демографиялық көрсеткіштерге елеулі ықпал етті. Дүниежүзілік денсаулық сақтау ұйымының мәліметтері бойынша, 2025 жылғы қараша айындағы жағдай бойынша пандемия басталғалы бері COVID-19 инфекциясымен байланысты расталған өлім жағдайларының жиынтық саны әлемде 7 миллионнан асады [5]. Жоғары леталдылық пен денсаулық сақтау жүйесіне түсетін ауқымды жүктеме, әсіресе коморбидті патологиясы бар пациенттерді жүргізудің клиникалық және ұйымдастырушылық тәсілдерін қайта қарастыру қажеттілігін туындатты [5].</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COVID-19-дың клиникалық ағымы айқын вариабельділігімен сипатталады — симптомсыз формалардан бастап үдемелі тыныс жеткіліксіздігімен және қарқынды терапия жүргізуді қажет ететін ауыр және критикалық жағдайларға дейін. Ең жоғары клиникалық-прогностикалық және әлеуметтік маңыз коморбидті пациенттер арасында байқалады, себебі оларда жаңа коронавирустық инфекция жиі ауыр түрде өтеді. Көптеген отандық және шетелдік зерттеулердің деректері бойынша артериялық гипертензия, 2 типті қант диабеті, семіздік, жүрек-қантамыр және цереброваскулярлық аурулар, созылмалы бүйрек ауруы, онкологиялық патология сияқты қатар жүретін аурулардың болуы COVID-19-дың ауыр ағымы мен өлім қаупінің жоғарылауымен сенімді түрде байланысты [6–13].</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Қазіргі жүйелі шолулар мен мета-талдаулардың деректеріне сәйкес, 2 типті қант диабетінің, артериялық гипертензияның және семіздіктің болуы COVID-19-дың ауыр ағымы мен леталдылық қаупінің жоғарылауымен сенімді ассоциацияланады. Атап айтқанда, қант диабеті бар пациенттерде өлімнің салыстырмалы қаупі диабеті жоқ пациенттермен салыстырғанда орта есеппен 1,5–2 есе артады, ал мультиморбидтіліктің болуы қолайсыз нәтижелер ықтималдығын қосымша күшейтеді [14,15].</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COVID-19-дың ауыр формаларының патогенезі вирустық пневмонияның дамуын, жүйелік қабыну жауабының белсенуін, гемостаз жүйесінің бұзылуын және полиоргандық жеткіліксіздікті қамтиды [16–17]. Қолайсыз нәтижелерді болжауда пациенттің жасы маңызды рөл атқарады. A. Booth және әріптестерінің жаһандық жүйелі шолуының деректеріне сәйкес, 70 жастан асқан тұлғаларда өлім қаупі үш еседен астам жоғарылайды (ОР = 3,61; 95% СИ: 2,70–4,84) [18].</w:t>
      </w:r>
    </w:p>
    <w:p w:rsidR="005975B4" w:rsidRPr="00987493" w:rsidRDefault="005975B4" w:rsidP="005975B4">
      <w:pPr>
        <w:widowControl/>
        <w:tabs>
          <w:tab w:val="left" w:pos="993"/>
        </w:tabs>
        <w:autoSpaceDE/>
        <w:autoSpaceDN/>
        <w:jc w:val="both"/>
        <w:rPr>
          <w:bCs/>
          <w:noProof/>
          <w:sz w:val="28"/>
          <w:szCs w:val="28"/>
          <w:lang w:val="kk-KZ"/>
        </w:rPr>
      </w:pP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lastRenderedPageBreak/>
        <w:tab/>
        <w:t>Ауыр COVID-19 формалары патогенезінің негізгі буыны цитокиндік дауылдың дамуы болып табылады — иммундық жауаптың гиперактивациясы нәтижесінде гиперцитокинемияның, жүйелік қабынудың және полиоргандық дисфункцияның қалыптасуы [18]. Бұл механизм әсіресе егде жастағы және коморбидті патологиясы бар пациенттерде жиі жүзеге асады. Алайда айқын гиперцитокинемия қатар жүретін аурулары жоқ пациенттерде де байқалуы мүмкін, бұл патогенетикалық үдерістің әмбебап сипатын көрсетеді [19,20].</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COVID-19 салдарын бағалауда пациенттерді емдеумен байланысты экономикалық жүктеме де маңызды орын алады. Коморбидті патологияның болуы госпитализация мерзімінің ұзаруына, қарқынды терапияға қажеттіліктің артуына және қымбат дәрілік заттарды, соның ішінде гендік-инженерлік биологиялық препараттар мен вирусқа қарсы құралдарды қолдануға байланысты медициналық көмек шығындарының өсуіне әкеледі. Коморбидтілік экономикалық шығындардың артуымен ғана емес, сонымен қатар ауру ағымының ауырлауымен және леталдылықтың өсуімен де байланысты. А.В. Молочков және әріптестерінің (2020) мәліметтері бойынша кемінде бір коморбидті жағдайдың болуы COVID-19-мен науқастардың госпиталдық леталдылығын 9,4%-дан 13,9%-ға дейін арттырған, ал мультиморбидті патология кезінде бұл көрсеткіш 24,8%-ға дейін жеткен [13].</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Ұқсас қорытындылар басқа да отандық және шетелдік зерттеулерде алынған, онда жүрек-қантамыр ауруларының, 2 типті қант диабетінің, семіздіктің, созылмалы бүйрек ауруының, онкологиялық патологияның, сондай-ақ олардың үйлесімдерінің болуы COVID-19-дың ауыр ағымы қаупінің, реанимация және қарқынды терапия бөлімшелерінде емделу қажеттілігінің және леталдылықтың артуымен сенімді түрде байланысты екені көрсетілген [21–24].</w:t>
      </w:r>
    </w:p>
    <w:p w:rsidR="005975B4" w:rsidRPr="00987493" w:rsidRDefault="005975B4" w:rsidP="005975B4">
      <w:pPr>
        <w:widowControl/>
        <w:tabs>
          <w:tab w:val="left" w:pos="993"/>
        </w:tabs>
        <w:autoSpaceDE/>
        <w:autoSpaceDN/>
        <w:jc w:val="both"/>
        <w:rPr>
          <w:bCs/>
          <w:noProof/>
          <w:sz w:val="28"/>
          <w:szCs w:val="28"/>
          <w:lang w:val="kk-KZ"/>
        </w:rPr>
      </w:pPr>
      <w:r w:rsidRPr="00987493">
        <w:rPr>
          <w:bCs/>
          <w:noProof/>
          <w:sz w:val="28"/>
          <w:szCs w:val="28"/>
          <w:lang w:val="kk-KZ"/>
        </w:rPr>
        <w:tab/>
        <w:t>Коморбидті пациенттердегі жоғары клиникалық-прогностикалық қауіп, ауру ағымының ерекшеліктері, емдеу тактикасын таңдаудағы күрделілік, реанимация және қарқынды терапия бөлімшелеріне ауыстыру жиілігінің жоғары болуы, сондай-ақ айтарлықтай экономикалық шығындар осы санаттағы науқастарды кешенді зерттеу қажеттілігін айқындайды. Қазақстан Республикасы жағдайында клиникалық-лабораториялық сипаттамаларды, прогностикалық маркерлерді, терапияның фармакоэкономикалық аспектілерін және COVID-19-мен коморбидті пациенттерді динамикалық бақылаудың оңтайландырылған алгоритмдерін бір мезгілде ескеретін зерттеулер саны әлі де жеткіліксіз болып отыр. Аталған жағдайлар осы диссертациялық зерттеудің өзектілігін негіздейді.</w:t>
      </w:r>
    </w:p>
    <w:p w:rsidR="000D795B" w:rsidRPr="00987493" w:rsidRDefault="000D795B" w:rsidP="000D795B">
      <w:pPr>
        <w:widowControl/>
        <w:tabs>
          <w:tab w:val="left" w:pos="993"/>
        </w:tabs>
        <w:autoSpaceDE/>
        <w:autoSpaceDN/>
        <w:jc w:val="both"/>
        <w:rPr>
          <w:b/>
          <w:bCs/>
          <w:noProof/>
          <w:sz w:val="28"/>
          <w:szCs w:val="28"/>
          <w:lang w:val="kk-KZ"/>
        </w:rPr>
      </w:pPr>
      <w:r w:rsidRPr="00987493">
        <w:rPr>
          <w:b/>
          <w:bCs/>
          <w:noProof/>
          <w:sz w:val="28"/>
          <w:szCs w:val="28"/>
          <w:lang w:val="kk-KZ"/>
        </w:rPr>
        <w:t>Зерттеу гипотезасы</w:t>
      </w:r>
    </w:p>
    <w:p w:rsidR="000D795B" w:rsidRPr="00987493" w:rsidRDefault="000D795B" w:rsidP="000D795B">
      <w:pPr>
        <w:widowControl/>
        <w:tabs>
          <w:tab w:val="left" w:pos="993"/>
        </w:tabs>
        <w:autoSpaceDE/>
        <w:autoSpaceDN/>
        <w:jc w:val="both"/>
        <w:rPr>
          <w:bCs/>
          <w:noProof/>
          <w:sz w:val="28"/>
          <w:szCs w:val="28"/>
          <w:lang w:val="kk-KZ"/>
        </w:rPr>
      </w:pPr>
      <w:r w:rsidRPr="00987493">
        <w:rPr>
          <w:bCs/>
          <w:noProof/>
          <w:sz w:val="28"/>
          <w:szCs w:val="28"/>
          <w:lang w:val="kk-KZ"/>
        </w:rPr>
        <w:t xml:space="preserve">COVID-19-мен ауыратын коморбидті пациенттерде клиникалық-лабораториялық көрсеткіштердің жиынтығы және олардың емдеу үдерісіндегі динамикасы аурудың ауыр ағымы мен қолайсыз нәтижесінің тәуелсіз предикторларын анықтауға мүмкіндік береді деп болжанады. Анықталған прогностикалық факторларды қолданылатын терапия сызбаларының фармакоэкономикалық талдауымен үйлестіріп пайдалану аталған санаттағы пациенттерді жүргізудің клиникалық және ұйымдастырушылық тәсілдерін </w:t>
      </w:r>
      <w:r w:rsidRPr="00987493">
        <w:rPr>
          <w:bCs/>
          <w:noProof/>
          <w:sz w:val="28"/>
          <w:szCs w:val="28"/>
          <w:lang w:val="kk-KZ"/>
        </w:rPr>
        <w:lastRenderedPageBreak/>
        <w:t>оңтайландыруға, оның ішінде динамикалық амбулаторлық бақылау алгоритмдерін әзірлеуге ғылыми негіз қалыптастырады.</w:t>
      </w:r>
    </w:p>
    <w:p w:rsidR="000D795B" w:rsidRPr="00987493" w:rsidRDefault="000D795B" w:rsidP="000D795B">
      <w:pPr>
        <w:widowControl/>
        <w:tabs>
          <w:tab w:val="left" w:pos="993"/>
        </w:tabs>
        <w:autoSpaceDE/>
        <w:autoSpaceDN/>
        <w:jc w:val="both"/>
        <w:rPr>
          <w:b/>
          <w:bCs/>
          <w:noProof/>
          <w:sz w:val="28"/>
          <w:szCs w:val="28"/>
          <w:lang w:val="kk-KZ"/>
        </w:rPr>
      </w:pPr>
      <w:r w:rsidRPr="00987493">
        <w:rPr>
          <w:b/>
          <w:bCs/>
          <w:noProof/>
          <w:sz w:val="28"/>
          <w:szCs w:val="28"/>
          <w:lang w:val="kk-KZ"/>
        </w:rPr>
        <w:t>Зерттеудің мақсаты</w:t>
      </w:r>
    </w:p>
    <w:p w:rsidR="000D795B" w:rsidRPr="00987493" w:rsidRDefault="000D795B" w:rsidP="000D795B">
      <w:pPr>
        <w:widowControl/>
        <w:tabs>
          <w:tab w:val="left" w:pos="993"/>
        </w:tabs>
        <w:autoSpaceDE/>
        <w:autoSpaceDN/>
        <w:jc w:val="both"/>
        <w:rPr>
          <w:bCs/>
          <w:noProof/>
          <w:sz w:val="28"/>
          <w:szCs w:val="28"/>
          <w:lang w:val="kk-KZ"/>
        </w:rPr>
      </w:pPr>
      <w:r w:rsidRPr="00987493">
        <w:rPr>
          <w:bCs/>
          <w:noProof/>
          <w:sz w:val="28"/>
          <w:szCs w:val="28"/>
          <w:lang w:val="kk-KZ"/>
        </w:rPr>
        <w:t>COVID-19-мен ауыратын коморбидті пациенттердегі аурудың ауыр ағымы мен қолайсыз нәтижесінің клиникалық-лабораториялық предикторларына кешенді баға беру, кейіннен этиопатогенетикалық терапияны фармакоэкономикалық тұрғыдан негіздеу және динамикалық амбулаторлық бақылауды оңтайландыру алгоритмін әзірлеу.</w:t>
      </w:r>
    </w:p>
    <w:p w:rsidR="00EE1C06" w:rsidRPr="00987493" w:rsidRDefault="00EE1C06" w:rsidP="00EE1C06">
      <w:pPr>
        <w:widowControl/>
        <w:tabs>
          <w:tab w:val="left" w:pos="993"/>
        </w:tabs>
        <w:autoSpaceDE/>
        <w:autoSpaceDN/>
        <w:jc w:val="both"/>
        <w:rPr>
          <w:bCs/>
          <w:noProof/>
          <w:sz w:val="28"/>
          <w:szCs w:val="28"/>
          <w:lang w:val="kk-KZ"/>
        </w:rPr>
      </w:pPr>
      <w:r w:rsidRPr="00987493">
        <w:rPr>
          <w:bCs/>
          <w:noProof/>
          <w:sz w:val="28"/>
          <w:szCs w:val="28"/>
          <w:lang w:val="kk-KZ"/>
        </w:rPr>
        <w:t>Зерттеудің міндеттері</w:t>
      </w:r>
    </w:p>
    <w:p w:rsidR="00EE1C06" w:rsidRPr="00987493" w:rsidRDefault="00EE1C06" w:rsidP="00EE1C06">
      <w:pPr>
        <w:widowControl/>
        <w:numPr>
          <w:ilvl w:val="0"/>
          <w:numId w:val="15"/>
        </w:numPr>
        <w:tabs>
          <w:tab w:val="left" w:pos="993"/>
        </w:tabs>
        <w:autoSpaceDE/>
        <w:autoSpaceDN/>
        <w:jc w:val="both"/>
        <w:rPr>
          <w:bCs/>
          <w:noProof/>
          <w:sz w:val="28"/>
          <w:szCs w:val="28"/>
          <w:lang w:val="kk-KZ"/>
        </w:rPr>
      </w:pPr>
      <w:r w:rsidRPr="00987493">
        <w:rPr>
          <w:bCs/>
          <w:noProof/>
          <w:sz w:val="28"/>
          <w:szCs w:val="28"/>
          <w:lang w:val="kk-KZ"/>
        </w:rPr>
        <w:t>Жаңа коронавирустық инфекция COVID-19-мен ауыратын коморбидті пациенттердегі клиникалық-лабораториялық көрсеткіштерді аурудың ауырлық дәрежесіне байланысты зерттеу.</w:t>
      </w:r>
    </w:p>
    <w:p w:rsidR="00CF4821" w:rsidRDefault="00CF4821" w:rsidP="00EE1C06">
      <w:pPr>
        <w:widowControl/>
        <w:numPr>
          <w:ilvl w:val="0"/>
          <w:numId w:val="15"/>
        </w:numPr>
        <w:tabs>
          <w:tab w:val="left" w:pos="993"/>
        </w:tabs>
        <w:autoSpaceDE/>
        <w:autoSpaceDN/>
        <w:jc w:val="both"/>
        <w:rPr>
          <w:bCs/>
          <w:noProof/>
          <w:sz w:val="28"/>
          <w:szCs w:val="28"/>
          <w:lang w:val="kk-KZ"/>
        </w:rPr>
      </w:pPr>
      <w:r w:rsidRPr="00CF4821">
        <w:rPr>
          <w:bCs/>
          <w:noProof/>
          <w:sz w:val="28"/>
          <w:szCs w:val="28"/>
          <w:lang w:val="kk-KZ"/>
        </w:rPr>
        <w:t>Ауыр ағыммен өтетін жаңа коронавирустық инфекция (COVID-19) бар пациенттердің болжамы мен клиникалық нәтижелерін зерттеу.</w:t>
      </w:r>
    </w:p>
    <w:p w:rsidR="00EE1C06" w:rsidRPr="00987493" w:rsidRDefault="00EE1C06" w:rsidP="00EE1C06">
      <w:pPr>
        <w:widowControl/>
        <w:numPr>
          <w:ilvl w:val="0"/>
          <w:numId w:val="15"/>
        </w:numPr>
        <w:tabs>
          <w:tab w:val="left" w:pos="993"/>
        </w:tabs>
        <w:autoSpaceDE/>
        <w:autoSpaceDN/>
        <w:jc w:val="both"/>
        <w:rPr>
          <w:bCs/>
          <w:noProof/>
          <w:sz w:val="28"/>
          <w:szCs w:val="28"/>
          <w:lang w:val="kk-KZ"/>
        </w:rPr>
      </w:pPr>
      <w:r w:rsidRPr="00987493">
        <w:rPr>
          <w:bCs/>
          <w:noProof/>
          <w:sz w:val="28"/>
          <w:szCs w:val="28"/>
          <w:lang w:val="kk-KZ"/>
        </w:rPr>
        <w:t>Коморбидтілігі бар науқастарда COVID-19-ды емдеудің әртүрлі терапиялық сызбаларының тиімділігін бағалау.</w:t>
      </w:r>
    </w:p>
    <w:p w:rsidR="00EE1C06" w:rsidRPr="00987493" w:rsidRDefault="00EE1C06" w:rsidP="00EE1C06">
      <w:pPr>
        <w:widowControl/>
        <w:numPr>
          <w:ilvl w:val="0"/>
          <w:numId w:val="15"/>
        </w:numPr>
        <w:tabs>
          <w:tab w:val="left" w:pos="993"/>
        </w:tabs>
        <w:autoSpaceDE/>
        <w:autoSpaceDN/>
        <w:jc w:val="both"/>
        <w:rPr>
          <w:bCs/>
          <w:noProof/>
          <w:sz w:val="28"/>
          <w:szCs w:val="28"/>
          <w:lang w:val="kk-KZ"/>
        </w:rPr>
      </w:pPr>
      <w:r w:rsidRPr="00987493">
        <w:rPr>
          <w:bCs/>
          <w:noProof/>
          <w:sz w:val="28"/>
          <w:szCs w:val="28"/>
          <w:lang w:val="kk-KZ"/>
        </w:rPr>
        <w:t>COVID-19-мен ауыратын науқастарға жүргізілген этиопатогенетикалық терапияның экономикалық бағасын (шығындылығын) және оның мақсатқа сәйкестігін талдау, аурудың қолайсыз нәтижесінің салыстырмалы қаупін (RR) есептеу арқылы анықтау.</w:t>
      </w:r>
    </w:p>
    <w:p w:rsidR="00EE1C06" w:rsidRPr="00987493" w:rsidRDefault="00EE1C06" w:rsidP="00EE1C06">
      <w:pPr>
        <w:widowControl/>
        <w:numPr>
          <w:ilvl w:val="0"/>
          <w:numId w:val="15"/>
        </w:numPr>
        <w:tabs>
          <w:tab w:val="left" w:pos="993"/>
        </w:tabs>
        <w:autoSpaceDE/>
        <w:autoSpaceDN/>
        <w:jc w:val="both"/>
        <w:rPr>
          <w:bCs/>
          <w:noProof/>
          <w:sz w:val="28"/>
          <w:szCs w:val="28"/>
          <w:lang w:val="kk-KZ"/>
        </w:rPr>
      </w:pPr>
      <w:r w:rsidRPr="00987493">
        <w:rPr>
          <w:bCs/>
          <w:noProof/>
          <w:sz w:val="28"/>
          <w:szCs w:val="28"/>
          <w:lang w:val="kk-KZ"/>
        </w:rPr>
        <w:t>Алынған нәтижелер негізінде COVID-19-ды өткерген реконвалесценттерді амбулаторлық деңгейде динамикалық бақылау алгоритмін оңтайландыру.</w:t>
      </w:r>
    </w:p>
    <w:p w:rsidR="00D82099" w:rsidRPr="00987493" w:rsidRDefault="00D82099" w:rsidP="00D82099">
      <w:pPr>
        <w:widowControl/>
        <w:tabs>
          <w:tab w:val="left" w:pos="993"/>
        </w:tabs>
        <w:autoSpaceDE/>
        <w:autoSpaceDN/>
        <w:jc w:val="both"/>
        <w:rPr>
          <w:b/>
          <w:noProof/>
          <w:sz w:val="28"/>
          <w:szCs w:val="28"/>
          <w:lang w:val="kk-KZ"/>
        </w:rPr>
      </w:pPr>
      <w:r w:rsidRPr="00987493">
        <w:rPr>
          <w:b/>
          <w:noProof/>
          <w:sz w:val="28"/>
          <w:szCs w:val="28"/>
          <w:lang w:val="kk-KZ"/>
        </w:rPr>
        <w:t>Зерттеу объектісі</w:t>
      </w:r>
    </w:p>
    <w:p w:rsidR="00D82099" w:rsidRPr="00987493" w:rsidRDefault="00D82099" w:rsidP="00D82099">
      <w:pPr>
        <w:widowControl/>
        <w:tabs>
          <w:tab w:val="left" w:pos="993"/>
        </w:tabs>
        <w:autoSpaceDE/>
        <w:autoSpaceDN/>
        <w:jc w:val="both"/>
        <w:rPr>
          <w:noProof/>
          <w:sz w:val="28"/>
          <w:szCs w:val="28"/>
          <w:lang w:val="kk-KZ"/>
        </w:rPr>
      </w:pPr>
      <w:r w:rsidRPr="00987493">
        <w:rPr>
          <w:noProof/>
          <w:sz w:val="28"/>
          <w:szCs w:val="28"/>
          <w:lang w:val="kk-KZ"/>
        </w:rPr>
        <w:t>Зерттеу объектісі — 2021 жылғы қаңтар мен 2022 жылғы ақпан аралығында Қарағанды облысы денсаулық сақтау басқармасының «Облыстық клиникалық аурухана» КМК Инфекциялық орталығы базасында зерттеуге енгізілген, COVID-19 диагнозы зертханалық түрде расталған және қатар жүретін патологиясы бар, аурудың орташа ауыр және ауыр ағымымен госпитализацияланған пациенттер.</w:t>
      </w:r>
    </w:p>
    <w:p w:rsidR="00D82099" w:rsidRPr="00987493" w:rsidRDefault="00D82099" w:rsidP="00D82099">
      <w:pPr>
        <w:widowControl/>
        <w:tabs>
          <w:tab w:val="left" w:pos="993"/>
        </w:tabs>
        <w:autoSpaceDE/>
        <w:autoSpaceDN/>
        <w:jc w:val="both"/>
        <w:rPr>
          <w:b/>
          <w:bCs/>
          <w:noProof/>
          <w:sz w:val="28"/>
          <w:szCs w:val="28"/>
          <w:lang w:val="kk-KZ"/>
        </w:rPr>
      </w:pPr>
      <w:r w:rsidRPr="00987493">
        <w:rPr>
          <w:b/>
          <w:bCs/>
          <w:noProof/>
          <w:sz w:val="28"/>
          <w:szCs w:val="28"/>
          <w:lang w:val="kk-KZ"/>
        </w:rPr>
        <w:t>Зерттеудің ғылыми жаңалығы</w:t>
      </w:r>
    </w:p>
    <w:p w:rsidR="00D82099" w:rsidRPr="00987493" w:rsidRDefault="00D82099" w:rsidP="00D82099">
      <w:pPr>
        <w:widowControl/>
        <w:numPr>
          <w:ilvl w:val="0"/>
          <w:numId w:val="16"/>
        </w:numPr>
        <w:tabs>
          <w:tab w:val="left" w:pos="993"/>
        </w:tabs>
        <w:autoSpaceDE/>
        <w:autoSpaceDN/>
        <w:jc w:val="both"/>
        <w:rPr>
          <w:noProof/>
          <w:sz w:val="28"/>
          <w:szCs w:val="28"/>
          <w:lang w:val="kk-KZ"/>
        </w:rPr>
      </w:pPr>
      <w:r w:rsidRPr="00987493">
        <w:rPr>
          <w:noProof/>
          <w:sz w:val="28"/>
          <w:szCs w:val="28"/>
          <w:lang w:val="kk-KZ"/>
        </w:rPr>
        <w:t>Қазақстан Республикасы стационарлары жағдайында госпитализацияланған коморбидті пациенттерде COVID-19-дың ауыр ағымы мен қолайсыз нәтижесінің клиникалық-лабораториялық предикторларына кешенді талдау жүргізіліп, этиопатогенетикалық терапияға бір мезгілде фармакоэкономикалық баға берілді.</w:t>
      </w:r>
    </w:p>
    <w:p w:rsidR="00D82099" w:rsidRPr="00987493" w:rsidRDefault="00D82099" w:rsidP="00D82099">
      <w:pPr>
        <w:widowControl/>
        <w:numPr>
          <w:ilvl w:val="0"/>
          <w:numId w:val="16"/>
        </w:numPr>
        <w:tabs>
          <w:tab w:val="left" w:pos="993"/>
        </w:tabs>
        <w:autoSpaceDE/>
        <w:autoSpaceDN/>
        <w:jc w:val="both"/>
        <w:rPr>
          <w:noProof/>
          <w:sz w:val="28"/>
          <w:szCs w:val="28"/>
          <w:lang w:val="kk-KZ"/>
        </w:rPr>
      </w:pPr>
      <w:r w:rsidRPr="00987493">
        <w:rPr>
          <w:noProof/>
          <w:sz w:val="28"/>
          <w:szCs w:val="28"/>
          <w:lang w:val="kk-KZ"/>
        </w:rPr>
        <w:t>Коморбидті пациенттердегі COVID-19-дың қолайсыз нәтижесінің тәуелсіз прогностикалық факторлары алғаш рет анықталды, оларға цереброваскулярлық аурулардың болуы, сондай-ақ С-реактивті ақуыз бен лактатдегидрогеназа деңгейінің қолайсыз динамикасы жатады.</w:t>
      </w:r>
    </w:p>
    <w:p w:rsidR="00D82099" w:rsidRPr="00987493" w:rsidRDefault="00D82099" w:rsidP="00D82099">
      <w:pPr>
        <w:widowControl/>
        <w:numPr>
          <w:ilvl w:val="0"/>
          <w:numId w:val="16"/>
        </w:numPr>
        <w:tabs>
          <w:tab w:val="left" w:pos="993"/>
        </w:tabs>
        <w:autoSpaceDE/>
        <w:autoSpaceDN/>
        <w:jc w:val="both"/>
        <w:rPr>
          <w:noProof/>
          <w:sz w:val="28"/>
          <w:szCs w:val="28"/>
          <w:lang w:val="kk-KZ"/>
        </w:rPr>
      </w:pPr>
      <w:r w:rsidRPr="00987493">
        <w:rPr>
          <w:noProof/>
          <w:sz w:val="28"/>
          <w:szCs w:val="28"/>
          <w:lang w:val="kk-KZ"/>
        </w:rPr>
        <w:t xml:space="preserve">Клиникалық-лабораториялық көрсеткіштерге негізделген және жеткілікті дискриминациялық қабілетке ие (AUC = 0,92) госпитализацияланған пациенттердегі өлім қаупін болжаудың жаңа прогностикалық моделі әзірленіп, валидациядан өтті, бұл оны </w:t>
      </w:r>
      <w:r w:rsidRPr="00987493">
        <w:rPr>
          <w:noProof/>
          <w:sz w:val="28"/>
          <w:szCs w:val="28"/>
          <w:lang w:val="kk-KZ"/>
        </w:rPr>
        <w:lastRenderedPageBreak/>
        <w:t>клиникалық тәжірибеде тәуекел стратификациясы үшін қолдануға мүмкіндік береді (авторлық құқық туралы куәлік № 58503, 22.05.2025 ж.).</w:t>
      </w:r>
    </w:p>
    <w:p w:rsidR="00D82099" w:rsidRPr="00987493" w:rsidRDefault="00D82099" w:rsidP="00D82099">
      <w:pPr>
        <w:widowControl/>
        <w:numPr>
          <w:ilvl w:val="0"/>
          <w:numId w:val="16"/>
        </w:numPr>
        <w:tabs>
          <w:tab w:val="left" w:pos="993"/>
        </w:tabs>
        <w:autoSpaceDE/>
        <w:autoSpaceDN/>
        <w:jc w:val="both"/>
        <w:rPr>
          <w:noProof/>
          <w:sz w:val="28"/>
          <w:szCs w:val="28"/>
          <w:lang w:val="kk-KZ"/>
        </w:rPr>
      </w:pPr>
      <w:r w:rsidRPr="00987493">
        <w:rPr>
          <w:noProof/>
          <w:sz w:val="28"/>
          <w:szCs w:val="28"/>
          <w:lang w:val="kk-KZ"/>
        </w:rPr>
        <w:t>Коморбидті пациенттерде COVID-19-дың этиопатогенетикалық терапиясына алғаш рет CER, ICER және CUA (QALY) көрсеткіштерін есептеу арқылы фармакоэкономикалық бағалау жүргізілді, бұл ремдесивирді қосу кезіндегі инкременттік шығындарды сандық тұрғыдан анықтауға мүмкіндік берді.</w:t>
      </w:r>
    </w:p>
    <w:p w:rsidR="00D82099" w:rsidRPr="00987493" w:rsidRDefault="00D82099" w:rsidP="00D82099">
      <w:pPr>
        <w:widowControl/>
        <w:numPr>
          <w:ilvl w:val="0"/>
          <w:numId w:val="16"/>
        </w:numPr>
        <w:tabs>
          <w:tab w:val="left" w:pos="993"/>
        </w:tabs>
        <w:autoSpaceDE/>
        <w:autoSpaceDN/>
        <w:jc w:val="both"/>
        <w:rPr>
          <w:noProof/>
          <w:sz w:val="28"/>
          <w:szCs w:val="28"/>
          <w:lang w:val="kk-KZ"/>
        </w:rPr>
      </w:pPr>
      <w:r w:rsidRPr="00987493">
        <w:rPr>
          <w:noProof/>
          <w:sz w:val="28"/>
          <w:szCs w:val="28"/>
          <w:lang w:val="kk-KZ"/>
        </w:rPr>
        <w:t>Қолайсыз нәтиженің клиникалық-лабораториялық предикторларын интеграциялауға және тәуекелге бағдарланған тәсілге негізделген COVID-19-ды өткерген коморбидті реконвалесценттерді динамикалық амбулаторлық бақылаудың жаңа практикаға бағдарланған алгоритмі әзірленіп, енгізілді (авторлық құқық туралы куәлік № 58505, 22.05.2025 ж.).</w:t>
      </w:r>
    </w:p>
    <w:p w:rsidR="00D82099" w:rsidRPr="00987493" w:rsidRDefault="00D82099" w:rsidP="005D20FE">
      <w:pPr>
        <w:pStyle w:val="3"/>
        <w:spacing w:before="0"/>
        <w:rPr>
          <w:rFonts w:ascii="Times New Roman" w:hAnsi="Times New Roman" w:cs="Times New Roman"/>
          <w:noProof/>
          <w:color w:val="auto"/>
          <w:sz w:val="28"/>
          <w:szCs w:val="28"/>
          <w:lang w:val="kk-KZ"/>
        </w:rPr>
      </w:pPr>
      <w:r w:rsidRPr="00987493">
        <w:rPr>
          <w:rStyle w:val="a8"/>
          <w:rFonts w:ascii="Times New Roman" w:hAnsi="Times New Roman" w:cs="Times New Roman"/>
          <w:bCs w:val="0"/>
          <w:noProof/>
          <w:color w:val="auto"/>
          <w:sz w:val="28"/>
          <w:szCs w:val="28"/>
          <w:lang w:val="kk-KZ"/>
        </w:rPr>
        <w:t>Теориялық маңыздылығы</w:t>
      </w:r>
    </w:p>
    <w:p w:rsidR="00D82099" w:rsidRPr="00987493" w:rsidRDefault="00D82099" w:rsidP="005D20FE">
      <w:pPr>
        <w:pStyle w:val="a5"/>
        <w:spacing w:before="0" w:beforeAutospacing="0" w:after="0" w:afterAutospacing="0"/>
        <w:ind w:firstLine="720"/>
        <w:rPr>
          <w:noProof/>
          <w:sz w:val="28"/>
          <w:szCs w:val="28"/>
          <w:lang w:val="kk-KZ"/>
        </w:rPr>
      </w:pPr>
      <w:r w:rsidRPr="00987493">
        <w:rPr>
          <w:noProof/>
          <w:sz w:val="28"/>
          <w:szCs w:val="28"/>
          <w:lang w:val="kk-KZ"/>
        </w:rPr>
        <w:t>Зерттеу нәтижелері коморбидті патологиясы бар пациенттердегі COVID-19-дың ауыр ағымының клиникалық-лабораториялық механизмдері туралы заманауи ғылыми түсініктерді кеңейтеді және аурудың қолайсыз нәтижелерін болжауда қабыну маркерлері динамикасының жетекші рөлін дәлелдейді.</w:t>
      </w:r>
    </w:p>
    <w:p w:rsidR="00D82099" w:rsidRPr="00987493" w:rsidRDefault="00D82099" w:rsidP="005D20FE">
      <w:pPr>
        <w:pStyle w:val="3"/>
        <w:spacing w:before="0"/>
        <w:rPr>
          <w:rFonts w:ascii="Times New Roman" w:hAnsi="Times New Roman" w:cs="Times New Roman"/>
          <w:noProof/>
          <w:color w:val="auto"/>
          <w:sz w:val="28"/>
          <w:szCs w:val="28"/>
          <w:lang w:val="kk-KZ"/>
        </w:rPr>
      </w:pPr>
      <w:r w:rsidRPr="00987493">
        <w:rPr>
          <w:rStyle w:val="a8"/>
          <w:rFonts w:ascii="Times New Roman" w:hAnsi="Times New Roman" w:cs="Times New Roman"/>
          <w:bCs w:val="0"/>
          <w:noProof/>
          <w:color w:val="auto"/>
          <w:sz w:val="28"/>
          <w:szCs w:val="28"/>
          <w:lang w:val="kk-KZ"/>
        </w:rPr>
        <w:t>Практикалық маңыздылығы</w:t>
      </w:r>
    </w:p>
    <w:p w:rsidR="00D82099" w:rsidRPr="00987493" w:rsidRDefault="00D82099" w:rsidP="005D20FE">
      <w:pPr>
        <w:pStyle w:val="a5"/>
        <w:numPr>
          <w:ilvl w:val="0"/>
          <w:numId w:val="17"/>
        </w:numPr>
        <w:spacing w:before="0" w:beforeAutospacing="0" w:after="0" w:afterAutospacing="0"/>
        <w:rPr>
          <w:noProof/>
          <w:sz w:val="28"/>
          <w:szCs w:val="28"/>
          <w:lang w:val="kk-KZ"/>
        </w:rPr>
      </w:pPr>
      <w:r w:rsidRPr="00987493">
        <w:rPr>
          <w:noProof/>
          <w:sz w:val="28"/>
          <w:szCs w:val="28"/>
          <w:lang w:val="kk-KZ"/>
        </w:rPr>
        <w:t>Анықталған прогностикалық клиникалық-лабораториялық көрсеткіштер (С-реактивті ақуыз, лактатдегидрогеназа, ферритин, D-димер, қанның жасушалық құрам көрсеткіштері) коморбидті пациенттерде COVID-19 кезінде тәуекелді ерте стратификациялау үшін қолданылуы мүмкін.</w:t>
      </w:r>
    </w:p>
    <w:p w:rsidR="00D82099" w:rsidRPr="00987493" w:rsidRDefault="00D82099" w:rsidP="00D82099">
      <w:pPr>
        <w:pStyle w:val="a5"/>
        <w:numPr>
          <w:ilvl w:val="0"/>
          <w:numId w:val="17"/>
        </w:numPr>
        <w:rPr>
          <w:noProof/>
          <w:sz w:val="28"/>
          <w:szCs w:val="28"/>
          <w:lang w:val="kk-KZ"/>
        </w:rPr>
      </w:pPr>
      <w:r w:rsidRPr="00987493">
        <w:rPr>
          <w:noProof/>
          <w:sz w:val="28"/>
          <w:szCs w:val="28"/>
          <w:lang w:val="kk-KZ"/>
        </w:rPr>
        <w:t>Әзірленген өлім қаупінің прогностикалық моделі инфекциялық стационарлар тәжірибесіне енгізіліп, жүргізілетін терапияның көлемі мен қарқындылығын ғылыми негіздеуге мүмкіндік береді.</w:t>
      </w:r>
    </w:p>
    <w:p w:rsidR="00D82099" w:rsidRPr="00987493" w:rsidRDefault="00D82099" w:rsidP="00D82099">
      <w:pPr>
        <w:pStyle w:val="a5"/>
        <w:numPr>
          <w:ilvl w:val="0"/>
          <w:numId w:val="17"/>
        </w:numPr>
        <w:rPr>
          <w:noProof/>
          <w:sz w:val="28"/>
          <w:szCs w:val="28"/>
          <w:lang w:val="kk-KZ"/>
        </w:rPr>
      </w:pPr>
      <w:r w:rsidRPr="00987493">
        <w:rPr>
          <w:noProof/>
          <w:sz w:val="28"/>
          <w:szCs w:val="28"/>
          <w:lang w:val="kk-KZ"/>
        </w:rPr>
        <w:t>Фармакоэкономикалық талдау нәтижелері денсаулық сақтау жүйесінің ресурстары шектеулі жағдайында, оның ішінде вирусқа қарсы препараттарды қолданудың мақсатқа сәйкестігін негіздеуге мүмкіндік береді.</w:t>
      </w:r>
    </w:p>
    <w:p w:rsidR="00D82099" w:rsidRPr="00987493" w:rsidRDefault="00D82099" w:rsidP="00D82099">
      <w:pPr>
        <w:pStyle w:val="a5"/>
        <w:numPr>
          <w:ilvl w:val="0"/>
          <w:numId w:val="17"/>
        </w:numPr>
        <w:rPr>
          <w:noProof/>
          <w:sz w:val="28"/>
          <w:szCs w:val="28"/>
          <w:lang w:val="kk-KZ"/>
        </w:rPr>
      </w:pPr>
      <w:r w:rsidRPr="00987493">
        <w:rPr>
          <w:noProof/>
          <w:sz w:val="28"/>
          <w:szCs w:val="28"/>
          <w:lang w:val="kk-KZ"/>
        </w:rPr>
        <w:t>Ұсынылған динамикалық амбулаторлық бақылау алгоритмі алғашқы медициналық-санитариялық көмек жүйесінде COVID-19 реконвалесценттерін құрылымдалған мониторингтен өткізу және қайталама госпитализациялар қаупін төмендету мақсатында қолданылуы мүмкін.</w:t>
      </w:r>
    </w:p>
    <w:p w:rsidR="00D82099" w:rsidRPr="00987493" w:rsidRDefault="00D82099" w:rsidP="00D82099">
      <w:pPr>
        <w:pStyle w:val="2"/>
        <w:jc w:val="both"/>
        <w:rPr>
          <w:rFonts w:ascii="Times New Roman" w:hAnsi="Times New Roman" w:cs="Times New Roman"/>
          <w:noProof/>
          <w:color w:val="auto"/>
          <w:sz w:val="28"/>
          <w:szCs w:val="28"/>
          <w:lang w:val="kk-KZ"/>
        </w:rPr>
      </w:pPr>
      <w:r w:rsidRPr="00987493">
        <w:rPr>
          <w:rStyle w:val="a8"/>
          <w:rFonts w:ascii="Times New Roman" w:hAnsi="Times New Roman" w:cs="Times New Roman"/>
          <w:bCs w:val="0"/>
          <w:noProof/>
          <w:color w:val="auto"/>
          <w:sz w:val="28"/>
          <w:szCs w:val="28"/>
          <w:lang w:val="kk-KZ"/>
        </w:rPr>
        <w:t>Қорғауға ұсынылатын негізгі қағидалар</w:t>
      </w:r>
    </w:p>
    <w:p w:rsidR="00D82099" w:rsidRPr="00987493" w:rsidRDefault="00D82099" w:rsidP="00D82099">
      <w:pPr>
        <w:pStyle w:val="a5"/>
        <w:numPr>
          <w:ilvl w:val="0"/>
          <w:numId w:val="18"/>
        </w:numPr>
        <w:jc w:val="both"/>
        <w:rPr>
          <w:noProof/>
          <w:sz w:val="28"/>
          <w:szCs w:val="28"/>
          <w:lang w:val="kk-KZ"/>
        </w:rPr>
      </w:pPr>
      <w:r w:rsidRPr="00987493">
        <w:rPr>
          <w:noProof/>
          <w:sz w:val="28"/>
          <w:szCs w:val="28"/>
          <w:lang w:val="kk-KZ"/>
        </w:rPr>
        <w:t xml:space="preserve">COVID-19-мен госпитализацияланған коморбидті пациенттерде өлім нәтижесінің тәуелсіз предикторлары ретінде цереброваскулярлық аурулардың болуы (OR = 4,40; 95% СИ: 1,12–18,94; p = 0,037), </w:t>
      </w:r>
      <w:r w:rsidR="00A404DD" w:rsidRPr="00987493">
        <w:rPr>
          <w:noProof/>
          <w:sz w:val="28"/>
          <w:szCs w:val="28"/>
          <w:lang w:val="kk-KZ"/>
        </w:rPr>
        <w:t xml:space="preserve">                                   </w:t>
      </w:r>
      <w:r w:rsidRPr="00987493">
        <w:rPr>
          <w:noProof/>
          <w:sz w:val="28"/>
          <w:szCs w:val="28"/>
          <w:lang w:val="kk-KZ"/>
        </w:rPr>
        <w:t>С-реактивті ақуыз деңгейінің динамикалық жоғарылауы (OR = 1,016; p = 0,003) және лактатдегидрогеназа деңгейінің артуы (OR = 1,001; p = 0,037) анықталды.</w:t>
      </w:r>
    </w:p>
    <w:p w:rsidR="00D82099" w:rsidRPr="00987493" w:rsidRDefault="00D82099" w:rsidP="00D82099">
      <w:pPr>
        <w:pStyle w:val="a5"/>
        <w:numPr>
          <w:ilvl w:val="0"/>
          <w:numId w:val="18"/>
        </w:numPr>
        <w:jc w:val="both"/>
        <w:rPr>
          <w:noProof/>
          <w:sz w:val="28"/>
          <w:szCs w:val="28"/>
          <w:lang w:val="kk-KZ"/>
        </w:rPr>
      </w:pPr>
      <w:r w:rsidRPr="00987493">
        <w:rPr>
          <w:noProof/>
          <w:sz w:val="28"/>
          <w:szCs w:val="28"/>
          <w:lang w:val="kk-KZ"/>
        </w:rPr>
        <w:lastRenderedPageBreak/>
        <w:t>Анықталған тәуелсіз факторлар негізінде өлім нәтижесін болжаудың логистикалық моделі әзірленді, оның дискриминациялық қабілеті жоғары (AUC = 0,92), сезімталдығы — 87%, спецификалығы — 83%. Бұл модель пациенттерді жоғары және төмен тәуекел топтарына стратификациялауға мүмкіндік береді.</w:t>
      </w:r>
    </w:p>
    <w:p w:rsidR="00D82099" w:rsidRPr="00987493" w:rsidRDefault="00D82099" w:rsidP="00D82099">
      <w:pPr>
        <w:pStyle w:val="a5"/>
        <w:numPr>
          <w:ilvl w:val="0"/>
          <w:numId w:val="18"/>
        </w:numPr>
        <w:jc w:val="both"/>
        <w:rPr>
          <w:noProof/>
          <w:sz w:val="28"/>
          <w:szCs w:val="28"/>
          <w:lang w:val="kk-KZ"/>
        </w:rPr>
      </w:pPr>
      <w:r w:rsidRPr="00987493">
        <w:rPr>
          <w:noProof/>
          <w:sz w:val="28"/>
          <w:szCs w:val="28"/>
          <w:lang w:val="kk-KZ"/>
        </w:rPr>
        <w:t>Өлім нәтижесімен аяқталған пациенттерде орташа ауыр ағыммен өткен COVID-19 жағдайларымен салыстырғанда қабыну және коагуляция маркерлерінің статистикалық тұрғыдан мәнді жоғарылауы анықталды: С-реактивті ақуыз деңгейі динамикада 4,86 есе жоғары болды (112,08 қарсы 23,05 мг/л; p &lt; 0,001), лактатдегидрогеназа — 2,02 есе (616,5 қарсы 304,5 Ед/л; p &lt; 0,001), ал D-димер деңгейі бақылау кезеңінің соңында 5,17 есе жоғары болды (1451,5 қарсы 281 нг/мл; p &lt; 0,001).</w:t>
      </w:r>
    </w:p>
    <w:p w:rsidR="00D82099" w:rsidRPr="00987493" w:rsidRDefault="00D82099" w:rsidP="00D82099">
      <w:pPr>
        <w:pStyle w:val="a5"/>
        <w:numPr>
          <w:ilvl w:val="0"/>
          <w:numId w:val="18"/>
        </w:numPr>
        <w:jc w:val="both"/>
        <w:rPr>
          <w:noProof/>
          <w:sz w:val="28"/>
          <w:szCs w:val="28"/>
          <w:lang w:val="kk-KZ"/>
        </w:rPr>
      </w:pPr>
      <w:r w:rsidRPr="00987493">
        <w:rPr>
          <w:noProof/>
          <w:sz w:val="28"/>
          <w:szCs w:val="28"/>
          <w:lang w:val="kk-KZ"/>
        </w:rPr>
        <w:t>Фармакоэкономикалық талдау нәтижелері бойынша, коморбидті пациенттердегі ауыр COVID-19 кезінде тікелей медициналық шығындардың негізгі үлесін стационарлық шығындар құрайды (шығын құрылымының 85,6%-ы). Ремдесивирді емдеу сызбасына енгізу жалпы емдеу құнын 14,4%-ға арттырады (ΔC = 97 490 ₸ бір пациентке), негізінен дәрілік компонент есебінен. Ремдесивир қолданылған топтағы өлім нәтижесінің салыстырмалы қаупі (RR = 3,44) салыстырылып отырған топтардағы бастапқы жағдай ауырлығының айырмашылығын көрсетеді. Алынған деректер клиникалық шешім қабылдау кезінде инкременттік шығындарды сандық тұрғыдан бағалауға және стационар ресурстарын жоспарлау барысында ескеруге мүмкіндік береді.</w:t>
      </w:r>
    </w:p>
    <w:p w:rsidR="00D82099" w:rsidRPr="00987493" w:rsidRDefault="00D82099" w:rsidP="00987493">
      <w:pPr>
        <w:pStyle w:val="a5"/>
        <w:numPr>
          <w:ilvl w:val="0"/>
          <w:numId w:val="18"/>
        </w:numPr>
        <w:spacing w:before="0" w:beforeAutospacing="0" w:after="0" w:afterAutospacing="0"/>
        <w:jc w:val="both"/>
        <w:rPr>
          <w:noProof/>
          <w:sz w:val="28"/>
          <w:szCs w:val="28"/>
          <w:lang w:val="kk-KZ"/>
        </w:rPr>
      </w:pPr>
      <w:r w:rsidRPr="00987493">
        <w:rPr>
          <w:noProof/>
          <w:sz w:val="28"/>
          <w:szCs w:val="28"/>
          <w:lang w:val="kk-KZ"/>
        </w:rPr>
        <w:t>Коморбидті патологиясы бар COVID-19 реконвалесценттерін динамикалық амбулаторлық бақылаудың әзірленген алгоритмі объективті прогностикалық критерийлерге негізделген және стационардан шыққаннан кейінгі 3–5 тәулікте жоғары тәуекелді пациенттерді ерте стратификациялауды қамтамасыз етеді. Алгоритм клиникалық-лабораториялық динамикаға сәйкес пациенттерді маршрутизациялауды оңтайландырады, клиникалық шешім қабылдау үдерісін стандарттайды және айқын декомпенсация дамымай тұрып қайта тексеру, терапияны күшейту немесе госпитализация қажеттілігін негізді түрде анықтауға мүмкіндік береді.</w:t>
      </w:r>
    </w:p>
    <w:p w:rsidR="00D82099" w:rsidRPr="00987493" w:rsidRDefault="00497127" w:rsidP="00987493">
      <w:pPr>
        <w:widowControl/>
        <w:shd w:val="clear" w:color="auto" w:fill="FFFFFF"/>
        <w:tabs>
          <w:tab w:val="left" w:pos="709"/>
          <w:tab w:val="left" w:pos="993"/>
        </w:tabs>
        <w:autoSpaceDE/>
        <w:autoSpaceDN/>
        <w:jc w:val="both"/>
        <w:rPr>
          <w:noProof/>
          <w:sz w:val="28"/>
          <w:szCs w:val="28"/>
          <w:lang w:val="kk-KZ"/>
        </w:rPr>
      </w:pPr>
      <w:r w:rsidRPr="00987493">
        <w:rPr>
          <w:noProof/>
          <w:sz w:val="28"/>
          <w:szCs w:val="28"/>
          <w:lang w:val="kk-KZ"/>
        </w:rPr>
        <w:tab/>
      </w:r>
      <w:r w:rsidR="00D82099" w:rsidRPr="00987493">
        <w:rPr>
          <w:noProof/>
          <w:sz w:val="28"/>
          <w:szCs w:val="28"/>
          <w:lang w:val="kk-KZ"/>
        </w:rPr>
        <w:t>Зерттеудің этикалық мәселелері Қарағанды медицина университеті жанындағы Жергілікті биоэтикалық комиссия тарапынан мақұлданды (№ 3 хаттама, 07 қараша 2022 жыл).</w:t>
      </w:r>
    </w:p>
    <w:p w:rsidR="00D82099" w:rsidRPr="00987493" w:rsidRDefault="00D82099" w:rsidP="00987493">
      <w:pPr>
        <w:widowControl/>
        <w:shd w:val="clear" w:color="auto" w:fill="FFFFFF"/>
        <w:tabs>
          <w:tab w:val="left" w:pos="709"/>
          <w:tab w:val="left" w:pos="993"/>
        </w:tabs>
        <w:autoSpaceDE/>
        <w:autoSpaceDN/>
        <w:jc w:val="both"/>
        <w:rPr>
          <w:noProof/>
          <w:sz w:val="28"/>
          <w:szCs w:val="28"/>
          <w:lang w:val="kk-KZ"/>
        </w:rPr>
      </w:pPr>
      <w:r w:rsidRPr="00987493">
        <w:rPr>
          <w:noProof/>
          <w:sz w:val="28"/>
          <w:szCs w:val="28"/>
          <w:lang w:val="kk-KZ"/>
        </w:rPr>
        <w:tab/>
        <w:t>Диссертация тақырыбы «Қарағанды медицина университеті» КЕАҚ Сенатының отырысында бекітілді (№ 4 хаттама, 24.11.2022 ж.).</w:t>
      </w:r>
    </w:p>
    <w:p w:rsidR="00D82099" w:rsidRPr="00987493" w:rsidRDefault="00D82099" w:rsidP="00987493">
      <w:pPr>
        <w:widowControl/>
        <w:shd w:val="clear" w:color="auto" w:fill="FFFFFF"/>
        <w:tabs>
          <w:tab w:val="left" w:pos="709"/>
          <w:tab w:val="left" w:pos="993"/>
        </w:tabs>
        <w:autoSpaceDE/>
        <w:autoSpaceDN/>
        <w:jc w:val="both"/>
        <w:rPr>
          <w:noProof/>
          <w:sz w:val="28"/>
          <w:szCs w:val="28"/>
          <w:lang w:val="kk-KZ"/>
        </w:rPr>
      </w:pPr>
      <w:r w:rsidRPr="00987493">
        <w:rPr>
          <w:noProof/>
          <w:sz w:val="28"/>
          <w:szCs w:val="28"/>
          <w:lang w:val="kk-KZ"/>
        </w:rPr>
        <w:tab/>
        <w:t>Диссертациялық зерттеу 27.06.2025 жылы Инфекциялық аурулар және фтизиатрия кафедрасының отырысында апробациядан өтті (№ 6 хаттама).</w:t>
      </w:r>
    </w:p>
    <w:p w:rsidR="00D82099" w:rsidRPr="00987493" w:rsidRDefault="00D82099" w:rsidP="00987493">
      <w:pPr>
        <w:widowControl/>
        <w:tabs>
          <w:tab w:val="left" w:pos="426"/>
        </w:tabs>
        <w:autoSpaceDE/>
        <w:autoSpaceDN/>
        <w:ind w:firstLine="567"/>
        <w:jc w:val="both"/>
        <w:rPr>
          <w:b/>
          <w:bCs/>
          <w:noProof/>
          <w:sz w:val="28"/>
          <w:szCs w:val="28"/>
          <w:lang w:val="kk-KZ"/>
        </w:rPr>
      </w:pPr>
      <w:r w:rsidRPr="00987493">
        <w:rPr>
          <w:b/>
          <w:bCs/>
          <w:noProof/>
          <w:sz w:val="28"/>
          <w:szCs w:val="28"/>
          <w:lang w:val="kk-KZ"/>
        </w:rPr>
        <w:t>Диссертациялық жұмыстың материалдары ұсынылды:</w:t>
      </w:r>
    </w:p>
    <w:p w:rsidR="00D82099" w:rsidRPr="00987493" w:rsidRDefault="00D82099" w:rsidP="00987493">
      <w:pPr>
        <w:widowControl/>
        <w:numPr>
          <w:ilvl w:val="0"/>
          <w:numId w:val="19"/>
        </w:numPr>
        <w:tabs>
          <w:tab w:val="left" w:pos="426"/>
          <w:tab w:val="left" w:pos="1418"/>
        </w:tabs>
        <w:autoSpaceDE/>
        <w:autoSpaceDN/>
        <w:jc w:val="both"/>
        <w:rPr>
          <w:noProof/>
          <w:sz w:val="28"/>
          <w:szCs w:val="28"/>
          <w:lang w:val="kk-KZ"/>
        </w:rPr>
      </w:pPr>
      <w:r w:rsidRPr="00987493">
        <w:rPr>
          <w:noProof/>
          <w:sz w:val="28"/>
          <w:szCs w:val="28"/>
          <w:lang w:val="kk-KZ"/>
        </w:rPr>
        <w:t>II Халықаралық ғылыми-практикалық конференция</w:t>
      </w:r>
      <w:r w:rsidR="00BC2E1F" w:rsidRPr="00987493">
        <w:rPr>
          <w:noProof/>
          <w:sz w:val="28"/>
          <w:szCs w:val="28"/>
          <w:lang w:val="kk-KZ"/>
        </w:rPr>
        <w:t xml:space="preserve"> </w:t>
      </w:r>
      <w:r w:rsidRPr="00987493">
        <w:rPr>
          <w:noProof/>
          <w:sz w:val="28"/>
          <w:szCs w:val="28"/>
          <w:lang w:val="kk-KZ"/>
        </w:rPr>
        <w:t>«Қазақстан Республикасы мен Орталық Азияның өзекті инфекциялары»,</w:t>
      </w:r>
      <w:r w:rsidR="00BC2E1F" w:rsidRPr="00987493">
        <w:rPr>
          <w:noProof/>
          <w:sz w:val="28"/>
          <w:szCs w:val="28"/>
          <w:lang w:val="kk-KZ"/>
        </w:rPr>
        <w:t xml:space="preserve"> </w:t>
      </w:r>
      <w:r w:rsidRPr="00987493">
        <w:rPr>
          <w:noProof/>
          <w:sz w:val="28"/>
          <w:szCs w:val="28"/>
          <w:lang w:val="kk-KZ"/>
        </w:rPr>
        <w:t>Шымкент қ., 16–17 маусым 2023 жыл.</w:t>
      </w:r>
    </w:p>
    <w:p w:rsidR="00D82099" w:rsidRPr="00987493" w:rsidRDefault="00D82099" w:rsidP="00987493">
      <w:pPr>
        <w:widowControl/>
        <w:numPr>
          <w:ilvl w:val="0"/>
          <w:numId w:val="19"/>
        </w:numPr>
        <w:tabs>
          <w:tab w:val="left" w:pos="426"/>
        </w:tabs>
        <w:autoSpaceDE/>
        <w:autoSpaceDN/>
        <w:jc w:val="both"/>
        <w:rPr>
          <w:noProof/>
          <w:sz w:val="28"/>
          <w:szCs w:val="28"/>
          <w:lang w:val="kk-KZ"/>
        </w:rPr>
      </w:pPr>
      <w:r w:rsidRPr="00987493">
        <w:rPr>
          <w:noProof/>
          <w:sz w:val="28"/>
          <w:szCs w:val="28"/>
          <w:lang w:val="kk-KZ"/>
        </w:rPr>
        <w:lastRenderedPageBreak/>
        <w:t>II Қазақстандық халықаралық қатысумен инфекционистер конгресі</w:t>
      </w:r>
      <w:r w:rsidRPr="00987493">
        <w:rPr>
          <w:noProof/>
          <w:sz w:val="28"/>
          <w:szCs w:val="28"/>
          <w:lang w:val="kk-KZ"/>
        </w:rPr>
        <w:br/>
        <w:t>«Жаһандану жағдайындағы инфекциялық аурулар: сын-қатерлер мен шешімдер»,</w:t>
      </w:r>
      <w:r w:rsidR="00BC2E1F" w:rsidRPr="00987493">
        <w:rPr>
          <w:noProof/>
          <w:sz w:val="28"/>
          <w:szCs w:val="28"/>
          <w:lang w:val="kk-KZ"/>
        </w:rPr>
        <w:t xml:space="preserve"> </w:t>
      </w:r>
      <w:r w:rsidRPr="00987493">
        <w:rPr>
          <w:noProof/>
          <w:sz w:val="28"/>
          <w:szCs w:val="28"/>
          <w:lang w:val="kk-KZ"/>
        </w:rPr>
        <w:t>Астана қ., 5–6 қазан 2023 жыл.</w:t>
      </w:r>
    </w:p>
    <w:p w:rsidR="00D82099" w:rsidRPr="00987493" w:rsidRDefault="00D82099" w:rsidP="00987493">
      <w:pPr>
        <w:widowControl/>
        <w:numPr>
          <w:ilvl w:val="0"/>
          <w:numId w:val="19"/>
        </w:numPr>
        <w:tabs>
          <w:tab w:val="left" w:pos="426"/>
        </w:tabs>
        <w:autoSpaceDE/>
        <w:autoSpaceDN/>
        <w:jc w:val="both"/>
        <w:rPr>
          <w:noProof/>
          <w:sz w:val="28"/>
          <w:szCs w:val="28"/>
          <w:lang w:val="kk-KZ"/>
        </w:rPr>
      </w:pPr>
      <w:r w:rsidRPr="00987493">
        <w:rPr>
          <w:noProof/>
          <w:sz w:val="28"/>
          <w:szCs w:val="28"/>
          <w:lang w:val="kk-KZ"/>
        </w:rPr>
        <w:t>Халықаралық ғылыми-практикалық конференция</w:t>
      </w:r>
      <w:r w:rsidR="00BC2E1F" w:rsidRPr="00987493">
        <w:rPr>
          <w:noProof/>
          <w:sz w:val="28"/>
          <w:szCs w:val="28"/>
          <w:lang w:val="kk-KZ"/>
        </w:rPr>
        <w:t xml:space="preserve"> </w:t>
      </w:r>
      <w:r w:rsidRPr="00987493">
        <w:rPr>
          <w:noProof/>
          <w:sz w:val="28"/>
          <w:szCs w:val="28"/>
          <w:lang w:val="kk-KZ"/>
        </w:rPr>
        <w:t>«Инфекциялық аурулар және антимикробтық құралдар»,</w:t>
      </w:r>
      <w:r w:rsidR="00BC2E1F" w:rsidRPr="00987493">
        <w:rPr>
          <w:noProof/>
          <w:sz w:val="28"/>
          <w:szCs w:val="28"/>
          <w:lang w:val="kk-KZ"/>
        </w:rPr>
        <w:t xml:space="preserve"> </w:t>
      </w:r>
      <w:r w:rsidRPr="00987493">
        <w:rPr>
          <w:noProof/>
          <w:sz w:val="28"/>
          <w:szCs w:val="28"/>
          <w:lang w:val="kk-KZ"/>
        </w:rPr>
        <w:t>Бұхара қ., 19–20 қазан 2023 жыл.</w:t>
      </w:r>
    </w:p>
    <w:p w:rsidR="005D20FE" w:rsidRPr="00987493" w:rsidRDefault="00BC2E1F" w:rsidP="00987493">
      <w:pPr>
        <w:widowControl/>
        <w:tabs>
          <w:tab w:val="left" w:pos="426"/>
          <w:tab w:val="left" w:pos="709"/>
        </w:tabs>
        <w:autoSpaceDE/>
        <w:autoSpaceDN/>
        <w:ind w:firstLine="567"/>
        <w:jc w:val="both"/>
        <w:rPr>
          <w:noProof/>
          <w:sz w:val="28"/>
          <w:szCs w:val="28"/>
          <w:lang w:val="kk-KZ"/>
        </w:rPr>
      </w:pPr>
      <w:r w:rsidRPr="00987493">
        <w:rPr>
          <w:b/>
          <w:noProof/>
          <w:sz w:val="28"/>
          <w:szCs w:val="28"/>
          <w:lang w:val="kk-KZ"/>
        </w:rPr>
        <w:t xml:space="preserve">Автордың жеке үлесі. </w:t>
      </w:r>
      <w:r w:rsidR="005D20FE" w:rsidRPr="00987493">
        <w:rPr>
          <w:noProof/>
          <w:sz w:val="28"/>
          <w:szCs w:val="28"/>
          <w:lang w:val="kk-KZ"/>
        </w:rPr>
        <w:t>Диссертациялық зерттеуді орындаудың барлық кезеңдерінде автор белсенді түрде қатысты, отандық және шетелдік ғылыми әдебиеттерді талдаудан бастап алынған нәтижелерді интерпретациялауға дейінгі жұмыстарды жүзеге асырды. Зерттеудің мақсаты мен міндеттері автордың өзі тарапынан айқындалды, зерттеу дизайны қалыптастырылды. Сонымен қатар, стационар архивінен (Damumed жүйесі) пациенттердің медициналық құжаттарын іріктеу автордың өзімен дербес жүргізілді. Автор электрондық деректер базасын қалыптастырып, статистикалық өңдеуге дейінгі деректерді алдын ала дайындауды жүзеге асырды және алынған нәтижелерді талдады. Бұдан бөлек, автор диссертациялық зерттеу нәтижелері бойынша ғылыми жарияланымдарды дайындауға және рәсімдеуге қатысты.</w:t>
      </w:r>
    </w:p>
    <w:p w:rsidR="00BC2E1F" w:rsidRPr="00987493" w:rsidRDefault="00BC2E1F" w:rsidP="00987493">
      <w:pPr>
        <w:widowControl/>
        <w:tabs>
          <w:tab w:val="left" w:pos="426"/>
          <w:tab w:val="left" w:pos="709"/>
        </w:tabs>
        <w:autoSpaceDE/>
        <w:autoSpaceDN/>
        <w:ind w:firstLine="567"/>
        <w:jc w:val="both"/>
        <w:rPr>
          <w:b/>
          <w:bCs/>
          <w:noProof/>
          <w:sz w:val="28"/>
          <w:szCs w:val="28"/>
          <w:lang w:val="kk-KZ"/>
        </w:rPr>
      </w:pPr>
      <w:r w:rsidRPr="00987493">
        <w:rPr>
          <w:b/>
          <w:bCs/>
          <w:noProof/>
          <w:sz w:val="28"/>
          <w:szCs w:val="28"/>
          <w:lang w:val="kk-KZ"/>
        </w:rPr>
        <w:t>Зерттеу нәтижелерін практикаға енгізу</w:t>
      </w:r>
    </w:p>
    <w:p w:rsidR="00BC2E1F" w:rsidRPr="00987493" w:rsidRDefault="00BC2E1F" w:rsidP="00987493">
      <w:pPr>
        <w:widowControl/>
        <w:tabs>
          <w:tab w:val="left" w:pos="426"/>
        </w:tabs>
        <w:autoSpaceDE/>
        <w:autoSpaceDN/>
        <w:ind w:firstLine="567"/>
        <w:jc w:val="both"/>
        <w:rPr>
          <w:noProof/>
          <w:sz w:val="28"/>
          <w:szCs w:val="28"/>
          <w:lang w:val="kk-KZ"/>
        </w:rPr>
      </w:pPr>
      <w:r w:rsidRPr="00987493">
        <w:rPr>
          <w:noProof/>
          <w:sz w:val="28"/>
          <w:szCs w:val="28"/>
          <w:lang w:val="kk-KZ"/>
        </w:rPr>
        <w:t>Осы диссертациялық зерттеудің нәтижелері Қарағанды облысының практикалық денсаулық сақтау жүйесіне енгізілді:</w:t>
      </w:r>
    </w:p>
    <w:p w:rsidR="00BC2E1F" w:rsidRPr="00987493" w:rsidRDefault="00BC2E1F" w:rsidP="00987493">
      <w:pPr>
        <w:widowControl/>
        <w:numPr>
          <w:ilvl w:val="0"/>
          <w:numId w:val="20"/>
        </w:numPr>
        <w:tabs>
          <w:tab w:val="left" w:pos="426"/>
        </w:tabs>
        <w:autoSpaceDE/>
        <w:autoSpaceDN/>
        <w:jc w:val="both"/>
        <w:rPr>
          <w:noProof/>
          <w:sz w:val="28"/>
          <w:szCs w:val="28"/>
          <w:lang w:val="kk-KZ"/>
        </w:rPr>
      </w:pPr>
      <w:r w:rsidRPr="00987493">
        <w:rPr>
          <w:noProof/>
          <w:sz w:val="28"/>
          <w:szCs w:val="28"/>
          <w:lang w:val="kk-KZ"/>
        </w:rPr>
        <w:t>Қарағанды облысы денсаулық сақтау басқармасының «Облыстық клиникалық аурухана» КМК Инфекциялық орталығы;</w:t>
      </w:r>
    </w:p>
    <w:p w:rsidR="00BC2E1F" w:rsidRPr="00987493" w:rsidRDefault="00BC2E1F" w:rsidP="00987493">
      <w:pPr>
        <w:widowControl/>
        <w:numPr>
          <w:ilvl w:val="0"/>
          <w:numId w:val="20"/>
        </w:numPr>
        <w:tabs>
          <w:tab w:val="left" w:pos="426"/>
        </w:tabs>
        <w:autoSpaceDE/>
        <w:autoSpaceDN/>
        <w:jc w:val="both"/>
        <w:rPr>
          <w:noProof/>
          <w:sz w:val="28"/>
          <w:szCs w:val="28"/>
          <w:lang w:val="kk-KZ"/>
        </w:rPr>
      </w:pPr>
      <w:r w:rsidRPr="00987493">
        <w:rPr>
          <w:noProof/>
          <w:sz w:val="28"/>
          <w:szCs w:val="28"/>
          <w:lang w:val="kk-KZ"/>
        </w:rPr>
        <w:t>Коронавирустық инфекцияны өткерген пациенттерді бақылауды жүзеге асыратын алғашқы медициналық-санитариялық көмек (АМСК) ұйымдары.</w:t>
      </w:r>
    </w:p>
    <w:p w:rsidR="00BC2E1F" w:rsidRPr="00987493" w:rsidRDefault="00BC2E1F" w:rsidP="00987493">
      <w:pPr>
        <w:widowControl/>
        <w:tabs>
          <w:tab w:val="left" w:pos="426"/>
        </w:tabs>
        <w:autoSpaceDE/>
        <w:autoSpaceDN/>
        <w:ind w:firstLine="567"/>
        <w:jc w:val="both"/>
        <w:rPr>
          <w:noProof/>
          <w:sz w:val="28"/>
          <w:szCs w:val="28"/>
          <w:lang w:val="kk-KZ"/>
        </w:rPr>
      </w:pPr>
      <w:r w:rsidRPr="00987493">
        <w:rPr>
          <w:noProof/>
          <w:sz w:val="28"/>
          <w:szCs w:val="28"/>
          <w:lang w:val="kk-KZ"/>
        </w:rPr>
        <w:t>Зерттеу нәтижелері негізінде:</w:t>
      </w:r>
    </w:p>
    <w:p w:rsidR="00BC2E1F" w:rsidRPr="00987493" w:rsidRDefault="00BC2E1F" w:rsidP="00987493">
      <w:pPr>
        <w:widowControl/>
        <w:numPr>
          <w:ilvl w:val="0"/>
          <w:numId w:val="21"/>
        </w:numPr>
        <w:tabs>
          <w:tab w:val="left" w:pos="426"/>
        </w:tabs>
        <w:autoSpaceDE/>
        <w:autoSpaceDN/>
        <w:jc w:val="both"/>
        <w:rPr>
          <w:noProof/>
          <w:sz w:val="28"/>
          <w:szCs w:val="28"/>
          <w:lang w:val="kk-KZ"/>
        </w:rPr>
      </w:pPr>
      <w:r w:rsidRPr="00987493">
        <w:rPr>
          <w:noProof/>
          <w:sz w:val="28"/>
          <w:szCs w:val="28"/>
          <w:lang w:val="kk-KZ"/>
        </w:rPr>
        <w:t>COVID-19-мен госпитализацияланған пациенттердегі өлім қаупін болжаудың әзірленген прогностикалық моделі қолайсыз нәтиже ықтималдығы кезінде пациенттерді қарқынды терапия бөлімшесіне ауыстыруды ғылыми негіздеу және тәуекелді объективті стратификациялау мақсатында қолданылады, бұл клиникалық шешім қабылдаудың стандартталған тәсілін қамтамасыз етеді.</w:t>
      </w:r>
    </w:p>
    <w:p w:rsidR="00BC2E1F" w:rsidRPr="00987493" w:rsidRDefault="00BC2E1F" w:rsidP="00987493">
      <w:pPr>
        <w:widowControl/>
        <w:numPr>
          <w:ilvl w:val="0"/>
          <w:numId w:val="21"/>
        </w:numPr>
        <w:tabs>
          <w:tab w:val="left" w:pos="426"/>
        </w:tabs>
        <w:autoSpaceDE/>
        <w:autoSpaceDN/>
        <w:jc w:val="both"/>
        <w:rPr>
          <w:noProof/>
          <w:sz w:val="28"/>
          <w:szCs w:val="28"/>
          <w:lang w:val="kk-KZ"/>
        </w:rPr>
      </w:pPr>
      <w:r w:rsidRPr="00987493">
        <w:rPr>
          <w:noProof/>
          <w:sz w:val="28"/>
          <w:szCs w:val="28"/>
          <w:lang w:val="kk-KZ"/>
        </w:rPr>
        <w:t>COVID-19 реконвалесценттерін динамикалық амбулаторлық бақылау моделі пациенттерді стационардан шығарғаннан кейін АМСК жағдайында жүргізу тәжірибесіне енгізілген, бұл жағдайдың тұрақсыздану белгілерін ерте анықтауға және қайта госпитализация жиілігін төмендетуге ықпал етеді.</w:t>
      </w:r>
    </w:p>
    <w:p w:rsidR="00BC2E1F" w:rsidRPr="00987493" w:rsidRDefault="00BC2E1F" w:rsidP="00987493">
      <w:pPr>
        <w:widowControl/>
        <w:tabs>
          <w:tab w:val="left" w:pos="426"/>
        </w:tabs>
        <w:autoSpaceDE/>
        <w:autoSpaceDN/>
        <w:ind w:firstLine="567"/>
        <w:jc w:val="both"/>
        <w:rPr>
          <w:noProof/>
          <w:sz w:val="28"/>
          <w:szCs w:val="28"/>
          <w:lang w:val="kk-KZ"/>
        </w:rPr>
      </w:pPr>
      <w:r w:rsidRPr="00987493">
        <w:rPr>
          <w:noProof/>
          <w:sz w:val="28"/>
          <w:szCs w:val="28"/>
          <w:lang w:val="kk-KZ"/>
        </w:rPr>
        <w:t>Нәтижелерді практикаға енгізу фактісі медициналық ұйым басшылары бекіткен енгізу актілерімен расталған.</w:t>
      </w:r>
    </w:p>
    <w:p w:rsidR="00BC2E1F" w:rsidRPr="00987493" w:rsidRDefault="00BC2E1F" w:rsidP="00987493">
      <w:pPr>
        <w:pStyle w:val="a3"/>
        <w:rPr>
          <w:b/>
          <w:bCs/>
          <w:noProof/>
          <w:lang w:val="kk-KZ"/>
        </w:rPr>
      </w:pPr>
      <w:r w:rsidRPr="00987493">
        <w:rPr>
          <w:b/>
          <w:bCs/>
          <w:noProof/>
          <w:lang w:val="kk-KZ"/>
        </w:rPr>
        <w:t>Диссертация тақырыбы бойынша жарияланымдар</w:t>
      </w:r>
    </w:p>
    <w:p w:rsidR="00BC2E1F" w:rsidRPr="00987493" w:rsidRDefault="00BC2E1F" w:rsidP="00987493">
      <w:pPr>
        <w:pStyle w:val="a3"/>
        <w:rPr>
          <w:noProof/>
          <w:lang w:val="kk-KZ"/>
        </w:rPr>
      </w:pPr>
      <w:r w:rsidRPr="00987493">
        <w:rPr>
          <w:noProof/>
          <w:lang w:val="kk-KZ"/>
        </w:rPr>
        <w:t>Диссертациялық зерттеу материалдары бойынша барлығы бес ғылыми жұмыс жарияланды, оның ішінде: халықаралық Scopus дерекқорына (Q3) енгізілген ғылыми журналда екі мақала және Қазақстан Республикасы Білім және ғылым министрлігінің Білім және ғылым саласындағы сапаны қамтамасыз ету комитеті ұсынған ғылыми басылымдарда үш мақала жарияланған.</w:t>
      </w:r>
    </w:p>
    <w:p w:rsidR="00E20649" w:rsidRPr="00987493" w:rsidRDefault="00E20649" w:rsidP="00987493">
      <w:pPr>
        <w:pStyle w:val="a3"/>
        <w:ind w:left="0"/>
        <w:jc w:val="left"/>
        <w:rPr>
          <w:noProof/>
          <w:lang w:val="kk-KZ"/>
        </w:rPr>
      </w:pPr>
    </w:p>
    <w:p w:rsidR="00BC2E1F" w:rsidRPr="00987493" w:rsidRDefault="00BC2E1F" w:rsidP="00987493">
      <w:pPr>
        <w:pStyle w:val="a3"/>
        <w:ind w:firstLine="708"/>
        <w:rPr>
          <w:b/>
          <w:bCs/>
          <w:noProof/>
          <w:lang w:val="kk-KZ"/>
        </w:rPr>
      </w:pPr>
      <w:r w:rsidRPr="00987493">
        <w:rPr>
          <w:b/>
          <w:bCs/>
          <w:noProof/>
          <w:lang w:val="kk-KZ"/>
        </w:rPr>
        <w:t>Зерттеу дизайны, материалдары мен әдістері</w:t>
      </w:r>
    </w:p>
    <w:p w:rsidR="00225F61" w:rsidRPr="00225F61" w:rsidRDefault="00225F61" w:rsidP="00225F61">
      <w:pPr>
        <w:pStyle w:val="a3"/>
        <w:ind w:firstLine="708"/>
        <w:rPr>
          <w:bCs/>
          <w:noProof/>
          <w:lang w:val="kk-KZ"/>
        </w:rPr>
      </w:pPr>
      <w:r w:rsidRPr="00225F61">
        <w:rPr>
          <w:bCs/>
          <w:noProof/>
          <w:lang w:val="kk-KZ"/>
        </w:rPr>
        <w:t>Зерттеу Қарағанды облысы Денсаулық сақтау басқармасының КМК «Облыстық клиникалық аурухана» жанындағы Жұқпалы аурулар орталығы базасында жүргізілді және 2021 жылғы қаңтардан 2022 жылғы ақпанға дейінгі кезеңде COVID-19 диагнозы расталған госпитализацияланған пациенттердің деректерін қамтыды.</w:t>
      </w:r>
    </w:p>
    <w:p w:rsidR="00225F61" w:rsidRPr="00225F61" w:rsidRDefault="00225F61" w:rsidP="00225F61">
      <w:pPr>
        <w:pStyle w:val="a3"/>
        <w:ind w:firstLine="708"/>
        <w:rPr>
          <w:bCs/>
          <w:noProof/>
          <w:lang w:val="kk-KZ"/>
        </w:rPr>
      </w:pPr>
      <w:r w:rsidRPr="00225F61">
        <w:rPr>
          <w:bCs/>
          <w:noProof/>
          <w:lang w:val="kk-KZ"/>
        </w:rPr>
        <w:t>Зерттеу ретроспективті, бір орталықты обсервациялық салыстырмалы дизайнда жүргізіліп, көпфакторлы статистикалық талдау әдістері қолданылды.</w:t>
      </w:r>
    </w:p>
    <w:p w:rsidR="00225F61" w:rsidRPr="00225F61" w:rsidRDefault="00225F61" w:rsidP="00225F61">
      <w:pPr>
        <w:pStyle w:val="a3"/>
        <w:ind w:firstLine="708"/>
        <w:rPr>
          <w:bCs/>
          <w:noProof/>
          <w:lang w:val="kk-KZ"/>
        </w:rPr>
      </w:pPr>
      <w:r w:rsidRPr="00225F61">
        <w:rPr>
          <w:bCs/>
          <w:noProof/>
          <w:lang w:val="kk-KZ"/>
        </w:rPr>
        <w:t>Жұмыс барысында клинико-демографиялық көрсеткіштерге, зертханалық параметрлерге, аурудың клиникалық ағымының ерекшеліктеріне, қолданылған емдеу сызбаларына және клиникалық нәтижелерге жүйелі талдау жүргізілді.</w:t>
      </w:r>
    </w:p>
    <w:p w:rsidR="00225F61" w:rsidRPr="00225F61" w:rsidRDefault="00225F61" w:rsidP="00225F61">
      <w:pPr>
        <w:pStyle w:val="a3"/>
        <w:ind w:firstLine="708"/>
        <w:rPr>
          <w:bCs/>
          <w:noProof/>
          <w:lang w:val="kk-KZ"/>
        </w:rPr>
      </w:pPr>
      <w:r w:rsidRPr="00225F61">
        <w:rPr>
          <w:bCs/>
          <w:noProof/>
          <w:lang w:val="kk-KZ"/>
        </w:rPr>
        <w:t>Зерттеу іріктемесіне полимеразды тізбекті реакция (ПТР) әдісімен расталған жаңа коронавирус инфекциясы (SARS-CoV-2) бар және қатар жүретін созылмалы коморбидті патологиясы анықталған госпитализацияланған пациенттер енгізілді.</w:t>
      </w:r>
    </w:p>
    <w:p w:rsidR="00225F61" w:rsidRDefault="00225F61" w:rsidP="00225F61">
      <w:pPr>
        <w:pStyle w:val="a3"/>
        <w:ind w:firstLine="708"/>
        <w:rPr>
          <w:bCs/>
          <w:noProof/>
          <w:lang w:val="kk-KZ"/>
        </w:rPr>
      </w:pPr>
      <w:r w:rsidRPr="00225F61">
        <w:rPr>
          <w:bCs/>
          <w:noProof/>
          <w:lang w:val="kk-KZ"/>
        </w:rPr>
        <w:t>Зерттеу Хельсинки декларациясының қағидаттарына және Қазақстан Республикасының қолданыстағы нормативтік құқықтық актілеріне сәйкес орындалды.</w:t>
      </w:r>
    </w:p>
    <w:p w:rsidR="00BC2E1F" w:rsidRPr="00987493" w:rsidRDefault="00BC2E1F" w:rsidP="00225F61">
      <w:pPr>
        <w:pStyle w:val="a3"/>
        <w:ind w:firstLine="708"/>
        <w:rPr>
          <w:b/>
          <w:bCs/>
          <w:noProof/>
          <w:lang w:val="kk-KZ"/>
        </w:rPr>
      </w:pPr>
      <w:r w:rsidRPr="00987493">
        <w:rPr>
          <w:b/>
          <w:bCs/>
          <w:noProof/>
          <w:lang w:val="kk-KZ"/>
        </w:rPr>
        <w:t>Зерттеуге енгізу критерийлері:</w:t>
      </w:r>
    </w:p>
    <w:p w:rsidR="00BC2E1F" w:rsidRPr="00987493" w:rsidRDefault="00BC2E1F" w:rsidP="00987493">
      <w:pPr>
        <w:pStyle w:val="a3"/>
        <w:numPr>
          <w:ilvl w:val="0"/>
          <w:numId w:val="22"/>
        </w:numPr>
        <w:rPr>
          <w:bCs/>
          <w:noProof/>
          <w:lang w:val="kk-KZ"/>
        </w:rPr>
      </w:pPr>
      <w:r w:rsidRPr="00987493">
        <w:rPr>
          <w:bCs/>
          <w:noProof/>
          <w:lang w:val="kk-KZ"/>
        </w:rPr>
        <w:t>COVID-19 диагнозының зертханалық расталуы;</w:t>
      </w:r>
    </w:p>
    <w:p w:rsidR="00BC2E1F" w:rsidRPr="00987493" w:rsidRDefault="00BC2E1F" w:rsidP="00987493">
      <w:pPr>
        <w:pStyle w:val="a3"/>
        <w:numPr>
          <w:ilvl w:val="0"/>
          <w:numId w:val="22"/>
        </w:numPr>
        <w:rPr>
          <w:bCs/>
          <w:noProof/>
          <w:lang w:val="kk-KZ"/>
        </w:rPr>
      </w:pPr>
      <w:r w:rsidRPr="00987493">
        <w:rPr>
          <w:bCs/>
          <w:noProof/>
          <w:lang w:val="kk-KZ"/>
        </w:rPr>
        <w:t>жасы 18 жастан жоғары болуы;</w:t>
      </w:r>
    </w:p>
    <w:p w:rsidR="00BC2E1F" w:rsidRPr="00987493" w:rsidRDefault="00BC2E1F" w:rsidP="00987493">
      <w:pPr>
        <w:pStyle w:val="a3"/>
        <w:numPr>
          <w:ilvl w:val="0"/>
          <w:numId w:val="22"/>
        </w:numPr>
        <w:rPr>
          <w:bCs/>
          <w:noProof/>
          <w:lang w:val="kk-KZ"/>
        </w:rPr>
      </w:pPr>
      <w:r w:rsidRPr="00987493">
        <w:rPr>
          <w:bCs/>
          <w:noProof/>
          <w:lang w:val="kk-KZ"/>
        </w:rPr>
        <w:t>бір немесе бірнеше созылмалы қатар жүретін аурулардың болуы;</w:t>
      </w:r>
    </w:p>
    <w:p w:rsidR="00BC2E1F" w:rsidRPr="00987493" w:rsidRDefault="00BC2E1F" w:rsidP="00987493">
      <w:pPr>
        <w:pStyle w:val="a3"/>
        <w:numPr>
          <w:ilvl w:val="0"/>
          <w:numId w:val="22"/>
        </w:numPr>
        <w:rPr>
          <w:bCs/>
          <w:noProof/>
          <w:lang w:val="kk-KZ"/>
        </w:rPr>
      </w:pPr>
      <w:r w:rsidRPr="00987493">
        <w:rPr>
          <w:bCs/>
          <w:noProof/>
          <w:lang w:val="kk-KZ"/>
        </w:rPr>
        <w:t>инфекциялық стационарға госпитализациялануы;</w:t>
      </w:r>
    </w:p>
    <w:p w:rsidR="00BC2E1F" w:rsidRPr="00987493" w:rsidRDefault="00BC2E1F" w:rsidP="00987493">
      <w:pPr>
        <w:pStyle w:val="a3"/>
        <w:numPr>
          <w:ilvl w:val="0"/>
          <w:numId w:val="22"/>
        </w:numPr>
        <w:rPr>
          <w:bCs/>
          <w:noProof/>
          <w:lang w:val="kk-KZ"/>
        </w:rPr>
      </w:pPr>
      <w:r w:rsidRPr="00987493">
        <w:rPr>
          <w:bCs/>
          <w:noProof/>
          <w:lang w:val="kk-KZ"/>
        </w:rPr>
        <w:t>клиникалық-лабораториялық деректердің толық көлемінің болуы.</w:t>
      </w:r>
    </w:p>
    <w:p w:rsidR="00BC2E1F" w:rsidRPr="00987493" w:rsidRDefault="00BC2E1F" w:rsidP="00987493">
      <w:pPr>
        <w:pStyle w:val="a3"/>
        <w:ind w:firstLine="708"/>
        <w:rPr>
          <w:b/>
          <w:bCs/>
          <w:noProof/>
          <w:lang w:val="kk-KZ"/>
        </w:rPr>
      </w:pPr>
      <w:r w:rsidRPr="00987493">
        <w:rPr>
          <w:b/>
          <w:bCs/>
          <w:noProof/>
          <w:lang w:val="kk-KZ"/>
        </w:rPr>
        <w:t>Шығару критерийлері:</w:t>
      </w:r>
    </w:p>
    <w:p w:rsidR="00BC2E1F" w:rsidRPr="00987493" w:rsidRDefault="00BC2E1F" w:rsidP="00987493">
      <w:pPr>
        <w:pStyle w:val="a3"/>
        <w:numPr>
          <w:ilvl w:val="0"/>
          <w:numId w:val="23"/>
        </w:numPr>
        <w:rPr>
          <w:bCs/>
          <w:noProof/>
          <w:lang w:val="kk-KZ"/>
        </w:rPr>
      </w:pPr>
      <w:r w:rsidRPr="00987493">
        <w:rPr>
          <w:bCs/>
          <w:noProof/>
          <w:lang w:val="kk-KZ"/>
        </w:rPr>
        <w:t>COVID-19 диагнозының расталмауы;</w:t>
      </w:r>
    </w:p>
    <w:p w:rsidR="00BC2E1F" w:rsidRPr="00987493" w:rsidRDefault="00BC2E1F" w:rsidP="00987493">
      <w:pPr>
        <w:pStyle w:val="a3"/>
        <w:numPr>
          <w:ilvl w:val="0"/>
          <w:numId w:val="23"/>
        </w:numPr>
        <w:rPr>
          <w:bCs/>
          <w:noProof/>
          <w:lang w:val="kk-KZ"/>
        </w:rPr>
      </w:pPr>
      <w:r w:rsidRPr="00987493">
        <w:rPr>
          <w:bCs/>
          <w:noProof/>
          <w:lang w:val="kk-KZ"/>
        </w:rPr>
        <w:t>госпитализацияға көрсеткішсіз аурудың жеңіл ағымы;</w:t>
      </w:r>
    </w:p>
    <w:p w:rsidR="00BC2E1F" w:rsidRPr="00987493" w:rsidRDefault="00BC2E1F" w:rsidP="00987493">
      <w:pPr>
        <w:pStyle w:val="a3"/>
        <w:numPr>
          <w:ilvl w:val="0"/>
          <w:numId w:val="23"/>
        </w:numPr>
        <w:rPr>
          <w:bCs/>
          <w:noProof/>
          <w:lang w:val="kk-KZ"/>
        </w:rPr>
      </w:pPr>
      <w:r w:rsidRPr="00987493">
        <w:rPr>
          <w:bCs/>
          <w:noProof/>
          <w:lang w:val="kk-KZ"/>
        </w:rPr>
        <w:t>медициналық құжаттаманың толық болмауы;</w:t>
      </w:r>
    </w:p>
    <w:p w:rsidR="00BC2E1F" w:rsidRPr="00987493" w:rsidRDefault="00BC2E1F" w:rsidP="00987493">
      <w:pPr>
        <w:pStyle w:val="a3"/>
        <w:numPr>
          <w:ilvl w:val="0"/>
          <w:numId w:val="23"/>
        </w:numPr>
        <w:rPr>
          <w:bCs/>
          <w:noProof/>
          <w:lang w:val="kk-KZ"/>
        </w:rPr>
      </w:pPr>
      <w:r w:rsidRPr="00987493">
        <w:rPr>
          <w:bCs/>
          <w:noProof/>
          <w:lang w:val="kk-KZ"/>
        </w:rPr>
        <w:t>жасы 18 жасқа дейін болуы;</w:t>
      </w:r>
    </w:p>
    <w:p w:rsidR="00BC2E1F" w:rsidRPr="00987493" w:rsidRDefault="00BC2E1F" w:rsidP="00987493">
      <w:pPr>
        <w:pStyle w:val="a3"/>
        <w:numPr>
          <w:ilvl w:val="0"/>
          <w:numId w:val="23"/>
        </w:numPr>
        <w:rPr>
          <w:bCs/>
          <w:noProof/>
          <w:lang w:val="kk-KZ"/>
        </w:rPr>
      </w:pPr>
      <w:r w:rsidRPr="00987493">
        <w:rPr>
          <w:bCs/>
          <w:noProof/>
          <w:lang w:val="kk-KZ"/>
        </w:rPr>
        <w:t>госпитализация кезіндегі жүктілік.</w:t>
      </w:r>
    </w:p>
    <w:p w:rsidR="00BC2E1F" w:rsidRPr="00987493" w:rsidRDefault="00BC2E1F" w:rsidP="00987493">
      <w:pPr>
        <w:pStyle w:val="a3"/>
        <w:ind w:firstLine="708"/>
        <w:rPr>
          <w:bCs/>
          <w:noProof/>
          <w:lang w:val="kk-KZ"/>
        </w:rPr>
      </w:pPr>
      <w:r w:rsidRPr="00987493">
        <w:rPr>
          <w:bCs/>
          <w:noProof/>
          <w:lang w:val="kk-KZ"/>
        </w:rPr>
        <w:t>Пациенттер аурудың ауырлық дәрежесі мен нәтижесіне байланысты үш клиникалық топқа бөлінді:</w:t>
      </w:r>
    </w:p>
    <w:p w:rsidR="00BC2E1F" w:rsidRPr="00987493" w:rsidRDefault="00BC2E1F" w:rsidP="00987493">
      <w:pPr>
        <w:pStyle w:val="a3"/>
        <w:numPr>
          <w:ilvl w:val="0"/>
          <w:numId w:val="24"/>
        </w:numPr>
        <w:rPr>
          <w:bCs/>
          <w:noProof/>
          <w:lang w:val="kk-KZ"/>
        </w:rPr>
      </w:pPr>
      <w:r w:rsidRPr="00987493">
        <w:rPr>
          <w:bCs/>
          <w:noProof/>
          <w:lang w:val="kk-KZ"/>
        </w:rPr>
        <w:t>орташа ауыр ағым (n = 108);</w:t>
      </w:r>
    </w:p>
    <w:p w:rsidR="00BC2E1F" w:rsidRPr="00987493" w:rsidRDefault="00BC2E1F" w:rsidP="00987493">
      <w:pPr>
        <w:pStyle w:val="a3"/>
        <w:numPr>
          <w:ilvl w:val="0"/>
          <w:numId w:val="24"/>
        </w:numPr>
        <w:rPr>
          <w:bCs/>
          <w:noProof/>
          <w:lang w:val="kk-KZ"/>
        </w:rPr>
      </w:pPr>
      <w:r w:rsidRPr="00987493">
        <w:rPr>
          <w:bCs/>
          <w:noProof/>
          <w:lang w:val="kk-KZ"/>
        </w:rPr>
        <w:t>қолайлы нәтижемен аяқталған ауыр ағым (n = 80);</w:t>
      </w:r>
    </w:p>
    <w:p w:rsidR="00BC2E1F" w:rsidRPr="00987493" w:rsidRDefault="00BC2E1F" w:rsidP="00987493">
      <w:pPr>
        <w:pStyle w:val="a3"/>
        <w:numPr>
          <w:ilvl w:val="0"/>
          <w:numId w:val="24"/>
        </w:numPr>
        <w:rPr>
          <w:bCs/>
          <w:noProof/>
          <w:lang w:val="kk-KZ"/>
        </w:rPr>
      </w:pPr>
      <w:r w:rsidRPr="00987493">
        <w:rPr>
          <w:bCs/>
          <w:noProof/>
          <w:lang w:val="kk-KZ"/>
        </w:rPr>
        <w:t>өлім нәтижесімен аяқталған ауыр ағым (n = 48).</w:t>
      </w:r>
    </w:p>
    <w:p w:rsidR="00BC2E1F" w:rsidRPr="00987493" w:rsidRDefault="00BC2E1F" w:rsidP="00987493">
      <w:pPr>
        <w:pStyle w:val="a3"/>
        <w:ind w:firstLine="708"/>
        <w:rPr>
          <w:bCs/>
          <w:noProof/>
          <w:lang w:val="kk-KZ"/>
        </w:rPr>
      </w:pPr>
      <w:r w:rsidRPr="00987493">
        <w:rPr>
          <w:bCs/>
          <w:noProof/>
          <w:lang w:val="kk-KZ"/>
        </w:rPr>
        <w:t>Талдауға демографиялық сипаттамалар, коморбидті патология құрылымы, госпитализация мерзімі, тыныс жеткіліксіздігі көрсеткіштері (SpO₂ деңгейі, респираторлық қолдау қажеттілігі), компьютерлік томография деректері бойынша өкпе тінінің зақымдану дәрежесі, сондай-ақ қабыну және коагуляцияның негізгі зертханалық маркерлерінің динамикасы (С-реактивті ақуыз, лактатдегидрогеназа, D-димер, ферритин, лейкоцитарлық формула көрсеткіштері) енгізілді.</w:t>
      </w:r>
    </w:p>
    <w:p w:rsidR="00BC2E1F" w:rsidRPr="00987493" w:rsidRDefault="00BC2E1F" w:rsidP="00987493">
      <w:pPr>
        <w:pStyle w:val="a3"/>
        <w:ind w:firstLine="708"/>
        <w:rPr>
          <w:bCs/>
          <w:noProof/>
          <w:lang w:val="kk-KZ"/>
        </w:rPr>
      </w:pPr>
      <w:r w:rsidRPr="00987493">
        <w:rPr>
          <w:bCs/>
          <w:noProof/>
          <w:lang w:val="kk-KZ"/>
        </w:rPr>
        <w:t xml:space="preserve">Зертханалық көрсеткіштер госпитализация кезінде, динамикада (4–8 </w:t>
      </w:r>
      <w:r w:rsidRPr="00987493">
        <w:rPr>
          <w:bCs/>
          <w:noProof/>
          <w:lang w:val="kk-KZ"/>
        </w:rPr>
        <w:lastRenderedPageBreak/>
        <w:t>тәуліктерде) және бақылау аяқталған сәтте бағаланды.</w:t>
      </w:r>
    </w:p>
    <w:p w:rsidR="00BC2E1F" w:rsidRPr="00987493" w:rsidRDefault="00BC2E1F" w:rsidP="00987493">
      <w:pPr>
        <w:pStyle w:val="a3"/>
        <w:ind w:firstLine="708"/>
        <w:rPr>
          <w:noProof/>
          <w:lang w:val="kk-KZ"/>
        </w:rPr>
      </w:pPr>
      <w:r w:rsidRPr="00987493">
        <w:rPr>
          <w:bCs/>
          <w:noProof/>
          <w:lang w:val="kk-KZ"/>
        </w:rPr>
        <w:t xml:space="preserve">Деректерді статистикалық өңдеу IBM SPSS Statistics бағдарламалық кешенін қолдана отырып жүргізілді. Көрсеткіштердің басым бөлігінде үлестірімнің қалыпты болмауына байланысты параметрлік емес әдістер қолданылды (Краскел–Уоллис критерийі, Манн–Уитни критерийі), ал категориялық айнымалылар үшін χ² критерийі және Фишердің дәл критерийі пайдаланылды. </w:t>
      </w:r>
      <w:r w:rsidRPr="00987493">
        <w:rPr>
          <w:noProof/>
          <w:lang w:val="kk-KZ"/>
        </w:rPr>
        <w:t>Өлім нәтижесінің тәуелсіз предикторлары көпфакторлы логистикалық регрессия әдісімен анықталды, нәтижелер odds ratio (OR) және 95% сенімділік интервалы (95% СИ) түрінде есептелді. Модельдің болжамдық тиімділігі ROC-талдау арқылы бағаланды, дискриминациялық қабілеті AUC көрсеткішімен айқындалды. Ішкі валидация іріктемені 70/30 арақатынасында бөлу әдісімен жүргізілді.</w:t>
      </w:r>
    </w:p>
    <w:p w:rsidR="00BC2E1F" w:rsidRPr="00987493" w:rsidRDefault="00BC2E1F" w:rsidP="00987493">
      <w:pPr>
        <w:pStyle w:val="a3"/>
        <w:ind w:firstLine="708"/>
        <w:rPr>
          <w:noProof/>
          <w:lang w:val="kk-KZ"/>
        </w:rPr>
      </w:pPr>
      <w:r w:rsidRPr="00987493">
        <w:rPr>
          <w:noProof/>
          <w:lang w:val="kk-KZ"/>
        </w:rPr>
        <w:t xml:space="preserve">Топаралық айырмашылықтар негізінен параметрлік емес талдау әдістерімен бағаланды; статистикалық маңыздылық деңгейі p &lt; 0,05 деп қабылданды. </w:t>
      </w:r>
    </w:p>
    <w:p w:rsidR="00BC2E1F" w:rsidRPr="00987493" w:rsidRDefault="00BC2E1F" w:rsidP="00987493">
      <w:pPr>
        <w:pStyle w:val="a3"/>
        <w:ind w:firstLine="708"/>
        <w:rPr>
          <w:noProof/>
          <w:lang w:val="kk-KZ"/>
        </w:rPr>
      </w:pPr>
      <w:r w:rsidRPr="00987493">
        <w:rPr>
          <w:noProof/>
          <w:lang w:val="kk-KZ"/>
        </w:rPr>
        <w:t>Қосымша түрде коморбидті пациенттердегі ауыр COVID-19-ды емдеу кезіндегі тікелей медициналық шығындарға фармакоэкономикалық талдау жүргізілді. Талдау мемлекеттік денсаулық сақтау жүйесі позициясынан орындалды және шығындар құрылымын бағалауды, «шығын–тиімділік» (cost-effectiveness), «шығын–пайдалылық» (cost-utility) көрсеткіштерін есептеуді, сондай-ақ емдеу сызбасына ремдесивирді енгізу кезіндегі инкременттік шығындарды анықтауды қамтыды.</w:t>
      </w:r>
    </w:p>
    <w:p w:rsidR="00BC2E1F" w:rsidRPr="00987493" w:rsidRDefault="00BC2E1F" w:rsidP="00987493">
      <w:pPr>
        <w:pStyle w:val="a3"/>
        <w:ind w:firstLine="708"/>
        <w:rPr>
          <w:noProof/>
          <w:lang w:val="kk-KZ"/>
        </w:rPr>
      </w:pPr>
      <w:r w:rsidRPr="00987493">
        <w:rPr>
          <w:noProof/>
          <w:lang w:val="kk-KZ"/>
        </w:rPr>
        <w:t>Зерттеу Қарағанды медицина университеті жанындағы Жергілікті биоэтикалық комиссия тарапынан мақұлданды, Хельсинки декларациясының қағидаттарына сәйкес жүргізілді, барлық деректер дербестендірілмеген (обезличенген) түрде пайдаланылды.</w:t>
      </w:r>
    </w:p>
    <w:p w:rsidR="00BC2E1F" w:rsidRPr="00987493" w:rsidRDefault="00BC2E1F" w:rsidP="00987493">
      <w:pPr>
        <w:pStyle w:val="a3"/>
        <w:ind w:firstLine="718"/>
        <w:rPr>
          <w:b/>
          <w:bCs/>
          <w:noProof/>
          <w:spacing w:val="-2"/>
          <w:lang w:val="kk-KZ"/>
        </w:rPr>
      </w:pPr>
      <w:r w:rsidRPr="00987493">
        <w:rPr>
          <w:b/>
          <w:bCs/>
          <w:noProof/>
          <w:spacing w:val="-2"/>
          <w:lang w:val="kk-KZ"/>
        </w:rPr>
        <w:t>Нәтижелер</w:t>
      </w:r>
    </w:p>
    <w:p w:rsidR="00BC2E1F" w:rsidRPr="00987493" w:rsidRDefault="00BC2E1F" w:rsidP="00987493">
      <w:pPr>
        <w:pStyle w:val="a3"/>
        <w:ind w:firstLine="718"/>
        <w:rPr>
          <w:bCs/>
          <w:noProof/>
          <w:spacing w:val="-2"/>
          <w:lang w:val="kk-KZ"/>
        </w:rPr>
      </w:pPr>
      <w:r w:rsidRPr="00987493">
        <w:rPr>
          <w:bCs/>
          <w:noProof/>
          <w:spacing w:val="-2"/>
          <w:lang w:val="kk-KZ"/>
        </w:rPr>
        <w:t>Зерттеуге SARS-CoV-2 инфекциясы расталған және коморбидті патологиясы бар 236 госпитализацияланған пациент енгізілді. Орташа жас 65,7 ± 11,6 жасты құрады, пациенттердің 44,9%-ында үш және одан да көп созылмалы аурулар тіркелді. Пациенттер үш клиникалық топқа бөлінді: орташа ауыр ағым (n = 108), қолайлы нәтижемен аяқталған ауыр ағым (n = 80) және өлім нәтижесімен аяқталған ауыр ағым (n = 48).</w:t>
      </w:r>
    </w:p>
    <w:p w:rsidR="00BC2E1F" w:rsidRPr="00987493" w:rsidRDefault="00BC2E1F" w:rsidP="00987493">
      <w:pPr>
        <w:pStyle w:val="a3"/>
        <w:ind w:firstLine="718"/>
        <w:rPr>
          <w:bCs/>
          <w:noProof/>
          <w:spacing w:val="-2"/>
          <w:lang w:val="kk-KZ"/>
        </w:rPr>
      </w:pPr>
      <w:r w:rsidRPr="00987493">
        <w:rPr>
          <w:bCs/>
          <w:noProof/>
          <w:spacing w:val="-2"/>
          <w:lang w:val="kk-KZ"/>
        </w:rPr>
        <w:t>Аурудың ауыр ағымы мен өлім нәтижесі жүйелік қабыну мен коагуляцияның айқын белсенуі аясында қалыптасатыны анықталды. Өлім нәтижесімен аяқталған топта орташа ауыр ағыммен салыстырғанда келесі өзгерістер анықталды:</w:t>
      </w:r>
    </w:p>
    <w:p w:rsidR="00987493" w:rsidRDefault="00BC2E1F" w:rsidP="00987493">
      <w:pPr>
        <w:pStyle w:val="a3"/>
        <w:numPr>
          <w:ilvl w:val="1"/>
          <w:numId w:val="23"/>
        </w:numPr>
        <w:ind w:left="284" w:hanging="284"/>
        <w:jc w:val="left"/>
        <w:rPr>
          <w:bCs/>
          <w:noProof/>
          <w:spacing w:val="-2"/>
          <w:lang w:val="kk-KZ"/>
        </w:rPr>
      </w:pPr>
      <w:r w:rsidRPr="00987493">
        <w:rPr>
          <w:bCs/>
          <w:noProof/>
          <w:spacing w:val="-2"/>
          <w:lang w:val="kk-KZ"/>
        </w:rPr>
        <w:t>С-реактивті ақуыз деңгейінің динамикада 4,86 есе жоғарылауы (112,08 қарсы 23,05 мг/л; p &lt; 0,001);</w:t>
      </w:r>
    </w:p>
    <w:p w:rsidR="00987493" w:rsidRDefault="00BC2E1F" w:rsidP="00987493">
      <w:pPr>
        <w:pStyle w:val="a3"/>
        <w:numPr>
          <w:ilvl w:val="1"/>
          <w:numId w:val="23"/>
        </w:numPr>
        <w:ind w:left="284" w:hanging="284"/>
        <w:jc w:val="left"/>
        <w:rPr>
          <w:bCs/>
          <w:noProof/>
          <w:spacing w:val="-2"/>
          <w:lang w:val="kk-KZ"/>
        </w:rPr>
      </w:pPr>
      <w:r w:rsidRPr="00987493">
        <w:rPr>
          <w:bCs/>
          <w:noProof/>
          <w:spacing w:val="-2"/>
          <w:lang w:val="kk-KZ"/>
        </w:rPr>
        <w:t>лактатдегидрогеназа деңгейінің 2,02 есе артуы (616,5 қарсы 304,5 Ед/л; p &lt; 0,001);</w:t>
      </w:r>
    </w:p>
    <w:p w:rsidR="00987493" w:rsidRDefault="00BC2E1F" w:rsidP="00987493">
      <w:pPr>
        <w:pStyle w:val="a3"/>
        <w:numPr>
          <w:ilvl w:val="1"/>
          <w:numId w:val="23"/>
        </w:numPr>
        <w:ind w:left="284" w:hanging="284"/>
        <w:jc w:val="left"/>
        <w:rPr>
          <w:bCs/>
          <w:noProof/>
          <w:spacing w:val="-2"/>
          <w:lang w:val="kk-KZ"/>
        </w:rPr>
      </w:pPr>
      <w:r w:rsidRPr="00987493">
        <w:rPr>
          <w:bCs/>
          <w:noProof/>
          <w:spacing w:val="-2"/>
          <w:lang w:val="kk-KZ"/>
        </w:rPr>
        <w:t xml:space="preserve"> бақылау кезеңінің соңында D-димер деңгейінің 5,17 есе жоғарылауы (1451,5 қарсы 281 нг/мл; p &lt; 0,001);</w:t>
      </w:r>
      <w:r w:rsidR="00987493">
        <w:rPr>
          <w:bCs/>
          <w:noProof/>
          <w:spacing w:val="-2"/>
          <w:lang w:val="kk-KZ"/>
        </w:rPr>
        <w:t xml:space="preserve"> </w:t>
      </w:r>
    </w:p>
    <w:p w:rsidR="00BC2E1F" w:rsidRPr="00987493" w:rsidRDefault="00BC2E1F" w:rsidP="00987493">
      <w:pPr>
        <w:pStyle w:val="a3"/>
        <w:numPr>
          <w:ilvl w:val="1"/>
          <w:numId w:val="23"/>
        </w:numPr>
        <w:ind w:left="284" w:hanging="284"/>
        <w:jc w:val="left"/>
        <w:rPr>
          <w:bCs/>
          <w:noProof/>
          <w:spacing w:val="-2"/>
          <w:lang w:val="kk-KZ"/>
        </w:rPr>
      </w:pPr>
      <w:r w:rsidRPr="00987493">
        <w:rPr>
          <w:bCs/>
          <w:noProof/>
          <w:spacing w:val="-2"/>
          <w:lang w:val="kk-KZ"/>
        </w:rPr>
        <w:t xml:space="preserve"> госпитализация кезінде айқын лимфопенияның болуы (11% қарсы 20%; p &lt; 0,001).</w:t>
      </w:r>
    </w:p>
    <w:p w:rsidR="00BC2E1F" w:rsidRPr="00987493" w:rsidRDefault="00BC2E1F" w:rsidP="00987493">
      <w:pPr>
        <w:pStyle w:val="a3"/>
        <w:ind w:firstLine="718"/>
        <w:rPr>
          <w:bCs/>
          <w:noProof/>
          <w:spacing w:val="-2"/>
          <w:lang w:val="kk-KZ"/>
        </w:rPr>
      </w:pPr>
      <w:r w:rsidRPr="00987493">
        <w:rPr>
          <w:bCs/>
          <w:noProof/>
          <w:spacing w:val="-2"/>
          <w:lang w:val="kk-KZ"/>
        </w:rPr>
        <w:lastRenderedPageBreak/>
        <w:t>Сонымен қатар маркерлердің бастапқы мәндеріне қарағанда олардың динамикалық жоғарылауы болжамдық тұрғыдан анағұрлым маңызды екені анықталды.</w:t>
      </w:r>
    </w:p>
    <w:p w:rsidR="00BC2E1F" w:rsidRPr="00987493" w:rsidRDefault="00BC2E1F" w:rsidP="00987493">
      <w:pPr>
        <w:pStyle w:val="a3"/>
        <w:ind w:firstLine="718"/>
        <w:rPr>
          <w:bCs/>
          <w:noProof/>
          <w:spacing w:val="-2"/>
          <w:lang w:val="kk-KZ"/>
        </w:rPr>
      </w:pPr>
      <w:r w:rsidRPr="00987493">
        <w:rPr>
          <w:bCs/>
          <w:noProof/>
          <w:spacing w:val="-2"/>
          <w:lang w:val="kk-KZ"/>
        </w:rPr>
        <w:t>Коморбидті фонды талдау нәтижесінде үш және одан да көп созылмалы аурулардың болуы өлім нәтижесімен аяқталған пациенттердің 60,4%-ында тіркелгені анықталды (p = 0,032). Семіздік III топта 35,4% жағдайда кездессе, орташа ауыр топта 13% ғана тіркелді (p = 0,005).</w:t>
      </w:r>
    </w:p>
    <w:p w:rsidR="00BC2E1F" w:rsidRPr="00987493" w:rsidRDefault="00BC2E1F" w:rsidP="00987493">
      <w:pPr>
        <w:pStyle w:val="a3"/>
        <w:ind w:firstLine="718"/>
        <w:rPr>
          <w:bCs/>
          <w:noProof/>
          <w:spacing w:val="-2"/>
          <w:lang w:val="kk-KZ"/>
        </w:rPr>
      </w:pPr>
      <w:r w:rsidRPr="00987493">
        <w:rPr>
          <w:bCs/>
          <w:noProof/>
          <w:spacing w:val="-2"/>
          <w:lang w:val="kk-KZ"/>
        </w:rPr>
        <w:t>Көпфакторлы логистикалық талдау нәтижесінде өлім нәтижесінің тәуелсіз предикторлары ретінде төмендегілер анықталды:</w:t>
      </w:r>
    </w:p>
    <w:p w:rsidR="00987493" w:rsidRDefault="00BC2E1F" w:rsidP="00987493">
      <w:pPr>
        <w:pStyle w:val="a3"/>
        <w:numPr>
          <w:ilvl w:val="1"/>
          <w:numId w:val="23"/>
        </w:numPr>
        <w:ind w:left="426"/>
        <w:jc w:val="left"/>
        <w:rPr>
          <w:bCs/>
          <w:noProof/>
          <w:spacing w:val="-2"/>
          <w:lang w:val="kk-KZ"/>
        </w:rPr>
      </w:pPr>
      <w:r w:rsidRPr="00987493">
        <w:rPr>
          <w:bCs/>
          <w:noProof/>
          <w:spacing w:val="-2"/>
          <w:lang w:val="kk-KZ"/>
        </w:rPr>
        <w:t>цереброваскулярлық аурулардың болуы (OR = 4,40; 95% СИ: 1,12–18,94; p = 0,037);</w:t>
      </w:r>
    </w:p>
    <w:p w:rsidR="00987493" w:rsidRDefault="00BC2E1F" w:rsidP="00987493">
      <w:pPr>
        <w:pStyle w:val="a3"/>
        <w:numPr>
          <w:ilvl w:val="1"/>
          <w:numId w:val="23"/>
        </w:numPr>
        <w:ind w:left="426"/>
        <w:jc w:val="left"/>
        <w:rPr>
          <w:bCs/>
          <w:noProof/>
          <w:spacing w:val="-2"/>
          <w:lang w:val="kk-KZ"/>
        </w:rPr>
      </w:pPr>
      <w:r w:rsidRPr="00987493">
        <w:rPr>
          <w:bCs/>
          <w:noProof/>
          <w:spacing w:val="-2"/>
          <w:lang w:val="kk-KZ"/>
        </w:rPr>
        <w:t xml:space="preserve"> С-реактивті ақуыздың динамикалық жоғарылауы (OR = 1,016; p = 0,003);</w:t>
      </w:r>
      <w:r w:rsidR="00987493">
        <w:rPr>
          <w:bCs/>
          <w:noProof/>
          <w:spacing w:val="-2"/>
          <w:lang w:val="kk-KZ"/>
        </w:rPr>
        <w:t xml:space="preserve"> </w:t>
      </w:r>
    </w:p>
    <w:p w:rsidR="00BC2E1F" w:rsidRPr="00987493" w:rsidRDefault="00BC2E1F" w:rsidP="00987493">
      <w:pPr>
        <w:pStyle w:val="a3"/>
        <w:numPr>
          <w:ilvl w:val="1"/>
          <w:numId w:val="23"/>
        </w:numPr>
        <w:ind w:left="426"/>
        <w:jc w:val="left"/>
        <w:rPr>
          <w:bCs/>
          <w:noProof/>
          <w:spacing w:val="-2"/>
          <w:lang w:val="kk-KZ"/>
        </w:rPr>
      </w:pPr>
      <w:r w:rsidRPr="00987493">
        <w:rPr>
          <w:bCs/>
          <w:noProof/>
          <w:spacing w:val="-2"/>
          <w:lang w:val="kk-KZ"/>
        </w:rPr>
        <w:t xml:space="preserve"> лактатдегидрогеназаның динамикалық жоғарылауы (OR = 1,001; p = 0,037).</w:t>
      </w:r>
    </w:p>
    <w:p w:rsidR="00BC2E1F" w:rsidRPr="00987493" w:rsidRDefault="00BC2E1F" w:rsidP="00987493">
      <w:pPr>
        <w:pStyle w:val="a3"/>
        <w:ind w:firstLine="718"/>
        <w:rPr>
          <w:bCs/>
          <w:noProof/>
          <w:spacing w:val="-2"/>
          <w:lang w:val="kk-KZ"/>
        </w:rPr>
      </w:pPr>
      <w:r w:rsidRPr="00987493">
        <w:rPr>
          <w:bCs/>
          <w:noProof/>
          <w:spacing w:val="-2"/>
          <w:lang w:val="kk-KZ"/>
        </w:rPr>
        <w:t>Анықталған факторлар негізінде өлім қаупін болжаудың жоғары дискриминациялық қабілетке ие прогностикалық моделі әзірленді: AUC = 0,92, сезімталдық — 87%, спецификалық — 83%, cut-off мәні — 0,43.</w:t>
      </w:r>
    </w:p>
    <w:p w:rsidR="00BC2E1F" w:rsidRPr="00987493" w:rsidRDefault="00BC2E1F" w:rsidP="00987493">
      <w:pPr>
        <w:pStyle w:val="a3"/>
        <w:ind w:firstLine="718"/>
        <w:rPr>
          <w:bCs/>
          <w:noProof/>
          <w:spacing w:val="-2"/>
          <w:lang w:val="kk-KZ"/>
        </w:rPr>
      </w:pPr>
      <w:r w:rsidRPr="00987493">
        <w:rPr>
          <w:bCs/>
          <w:noProof/>
          <w:spacing w:val="-2"/>
          <w:lang w:val="kk-KZ"/>
        </w:rPr>
        <w:t>Терапия талдауы жағдай ауырлаған сайын дексаметазон тағайындау жиілігінің 65,7%-дан 89,6%-ға дейін (p = 0,001), фракцияланбаған гепариннің 23,1%-дан 70,8%-ға дейін (p &lt; 0,001), ремдесивирдің 76,9%-дан 93,8%-ға дейін (p = 0,03) артқанын көрсетті. Көпфакторлы модельде препараттардың леталдылыққа тәуелсіз протективті әсері анықталған жоқ, бұл терапияның клиникалық көрсеткіштер бойынша тағайындалуымен түсіндіріледі.</w:t>
      </w:r>
    </w:p>
    <w:p w:rsidR="00BC2E1F" w:rsidRPr="00987493" w:rsidRDefault="00BC2E1F" w:rsidP="00987493">
      <w:pPr>
        <w:pStyle w:val="a3"/>
        <w:ind w:firstLine="718"/>
        <w:rPr>
          <w:bCs/>
          <w:noProof/>
          <w:spacing w:val="-2"/>
          <w:lang w:val="kk-KZ"/>
        </w:rPr>
      </w:pPr>
      <w:r w:rsidRPr="00987493">
        <w:rPr>
          <w:bCs/>
          <w:noProof/>
          <w:spacing w:val="-2"/>
          <w:lang w:val="kk-KZ"/>
        </w:rPr>
        <w:t>Фармакоэкономикалық талдау нәтижелері бойынша орташа тікелей шығындар базистік терапия кезінде 675 401 ₸, ал ремдесивир қосылған жағдайда 772 891 ₸ құрады. Инкременттік шығындар (ΔC) бір пациентке 97 490 ₸ болды. «Шығын–тиімділік» көрсеткіші ремдесивирсіз 724 821 ₸, ал ремдесивир қолданылғанда 1 009 852 ₸ құрады. Бір QALY құны сәйкесінше 263 828 ₸ және 368 995 ₸ болды.</w:t>
      </w:r>
    </w:p>
    <w:p w:rsidR="00BC2E1F" w:rsidRPr="00987493" w:rsidRDefault="00BC2E1F" w:rsidP="00987493">
      <w:pPr>
        <w:pStyle w:val="a3"/>
        <w:ind w:firstLine="718"/>
        <w:rPr>
          <w:bCs/>
          <w:noProof/>
          <w:spacing w:val="-2"/>
          <w:lang w:val="kk-KZ"/>
        </w:rPr>
      </w:pPr>
      <w:r w:rsidRPr="00987493">
        <w:rPr>
          <w:bCs/>
          <w:noProof/>
          <w:spacing w:val="-2"/>
          <w:lang w:val="kk-KZ"/>
        </w:rPr>
        <w:t>Зерттеу аясында өзара байланысты екі алгоритмдік шешім әзірленіп, практикаға енгізілді: госпитализацияланған пациенттерде өлім қаупін бағалаудың прогностикалық моделі және коморбидті патологиясы бар COVID-19 реконвалесценттерін динамикалық амбулаторлық бақылаудың тәуекелге бағдарланған алгоритмі.</w:t>
      </w:r>
    </w:p>
    <w:p w:rsidR="001F7F98" w:rsidRPr="00987493" w:rsidRDefault="001F7F98" w:rsidP="00987493">
      <w:pPr>
        <w:pStyle w:val="a3"/>
        <w:ind w:firstLine="718"/>
        <w:rPr>
          <w:noProof/>
          <w:lang w:val="kk-KZ"/>
        </w:rPr>
      </w:pPr>
      <w:r w:rsidRPr="00987493">
        <w:rPr>
          <w:noProof/>
          <w:lang w:val="kk-KZ"/>
        </w:rPr>
        <w:t>Стационарлық кезеңге арналған прогностикалық модель анықталған тәуелсіз клиникалық-лабораториялық предикторларға (цереброваскулярлық аурулардың болуы, С-реактивті ақуыз бен лактатдегидрогеназа деңгейінің динамикалық жоғарылауы) негізделген және өлім нәтижесінің жеке тәуекелін сандық бағалауға мүмкіндік береді.</w:t>
      </w:r>
    </w:p>
    <w:p w:rsidR="001F7F98" w:rsidRPr="00987493" w:rsidRDefault="001F7F98" w:rsidP="00987493">
      <w:pPr>
        <w:pStyle w:val="a3"/>
        <w:ind w:firstLine="718"/>
        <w:rPr>
          <w:noProof/>
          <w:lang w:val="kk-KZ"/>
        </w:rPr>
      </w:pPr>
      <w:r w:rsidRPr="00987493">
        <w:rPr>
          <w:noProof/>
          <w:lang w:val="kk-KZ"/>
        </w:rPr>
        <w:t>Ықтималдықтың шекті мәні p ≥ 0,43 болған жағдайда пациент жоғары тәуекел тобына жатқызылады және күшейтілген мониторингті, зертханалық көрсеткіштерді динамикада қайта бағалауды, сондай-ақ реанимация және қарқынды терапия бөлімшесіне ауыстыру мүмкіндігін қарастыруды талап етеді.</w:t>
      </w:r>
    </w:p>
    <w:p w:rsidR="001F7F98" w:rsidRPr="00987493" w:rsidRDefault="001F7F98" w:rsidP="00987493">
      <w:pPr>
        <w:pStyle w:val="a3"/>
        <w:ind w:firstLine="718"/>
        <w:rPr>
          <w:noProof/>
          <w:lang w:val="kk-KZ"/>
        </w:rPr>
      </w:pPr>
      <w:r w:rsidRPr="00987493">
        <w:rPr>
          <w:noProof/>
          <w:lang w:val="kk-KZ"/>
        </w:rPr>
        <w:t>Модельдің дискриминациялық қабілеті жоғары (AUC = 0,92), бұл оның инфекциялық стационар жағдайында клиникалық тұрғыдан қолдануға жарамдылығын қамтамасыз етеді.</w:t>
      </w:r>
    </w:p>
    <w:p w:rsidR="001F7F98" w:rsidRPr="00987493" w:rsidRDefault="001F7F98" w:rsidP="00987493">
      <w:pPr>
        <w:pStyle w:val="a5"/>
        <w:spacing w:before="0" w:beforeAutospacing="0" w:after="0" w:afterAutospacing="0"/>
        <w:ind w:firstLine="720"/>
        <w:jc w:val="both"/>
        <w:rPr>
          <w:noProof/>
          <w:sz w:val="28"/>
          <w:szCs w:val="28"/>
          <w:lang w:val="kk-KZ"/>
        </w:rPr>
      </w:pPr>
      <w:r w:rsidRPr="00987493">
        <w:rPr>
          <w:noProof/>
          <w:sz w:val="28"/>
          <w:szCs w:val="28"/>
          <w:lang w:val="kk-KZ"/>
        </w:rPr>
        <w:lastRenderedPageBreak/>
        <w:t>Амбулаторлық кезеңде стационардан шығарылғаннан кейінгі жағдайдың дестабилизациясын алдын алуға бағытталған тәуекелге бағдарланған динамикалық бақылау алгоритмі әзірленді.</w:t>
      </w:r>
    </w:p>
    <w:p w:rsidR="001F7F98" w:rsidRPr="00987493" w:rsidRDefault="001F7F98" w:rsidP="00987493">
      <w:pPr>
        <w:pStyle w:val="a5"/>
        <w:spacing w:before="0" w:beforeAutospacing="0" w:after="0" w:afterAutospacing="0"/>
        <w:ind w:firstLine="720"/>
        <w:jc w:val="both"/>
        <w:rPr>
          <w:noProof/>
          <w:sz w:val="28"/>
          <w:szCs w:val="28"/>
          <w:lang w:val="kk-KZ"/>
        </w:rPr>
      </w:pPr>
      <w:r w:rsidRPr="00987493">
        <w:rPr>
          <w:noProof/>
          <w:sz w:val="28"/>
          <w:szCs w:val="28"/>
          <w:lang w:val="kk-KZ"/>
        </w:rPr>
        <w:t>Алгоритм 3–5 тәулік ішінде бастапқы бақылауды, клиникалық параметрлерді (шағымдар, оттегімен қанығу деңгейі, жүрек соғу жиілігі, артериялық қысым), зертханалық көрсеткіштердің динамикалық мониторингін (С-реактивті ақуыз, лактатдегидрогеназа, көрсеткіш болған жағдайда — D-димер) бағалауды және тәуекел деңгейіне байланысты кейінгі қабылдаулардың сараланған жиілігін қарастырады.</w:t>
      </w:r>
    </w:p>
    <w:p w:rsidR="001F7F98" w:rsidRPr="00987493" w:rsidRDefault="001F7F98" w:rsidP="00987493">
      <w:pPr>
        <w:pStyle w:val="a5"/>
        <w:spacing w:before="0" w:beforeAutospacing="0" w:after="0" w:afterAutospacing="0"/>
        <w:jc w:val="both"/>
        <w:rPr>
          <w:noProof/>
          <w:sz w:val="28"/>
          <w:szCs w:val="28"/>
          <w:lang w:val="kk-KZ"/>
        </w:rPr>
      </w:pPr>
      <w:r w:rsidRPr="00987493">
        <w:rPr>
          <w:noProof/>
          <w:sz w:val="28"/>
          <w:szCs w:val="28"/>
          <w:lang w:val="kk-KZ"/>
        </w:rPr>
        <w:t>Үш тәуекел деңгейі айқындалды:</w:t>
      </w:r>
    </w:p>
    <w:p w:rsidR="001F7F98" w:rsidRPr="00987493" w:rsidRDefault="001F7F98" w:rsidP="00987493">
      <w:pPr>
        <w:pStyle w:val="a5"/>
        <w:numPr>
          <w:ilvl w:val="1"/>
          <w:numId w:val="23"/>
        </w:numPr>
        <w:spacing w:before="0" w:beforeAutospacing="0" w:after="0" w:afterAutospacing="0"/>
        <w:ind w:left="567"/>
        <w:jc w:val="both"/>
        <w:rPr>
          <w:noProof/>
          <w:sz w:val="28"/>
          <w:szCs w:val="28"/>
          <w:lang w:val="kk-KZ"/>
        </w:rPr>
      </w:pPr>
      <w:r w:rsidRPr="00987493">
        <w:rPr>
          <w:rStyle w:val="a8"/>
          <w:b w:val="0"/>
          <w:noProof/>
          <w:sz w:val="28"/>
          <w:szCs w:val="28"/>
          <w:lang w:val="kk-KZ"/>
        </w:rPr>
        <w:t>төмен тәуекел</w:t>
      </w:r>
      <w:r w:rsidRPr="00987493">
        <w:rPr>
          <w:noProof/>
          <w:sz w:val="28"/>
          <w:szCs w:val="28"/>
          <w:lang w:val="kk-KZ"/>
        </w:rPr>
        <w:t xml:space="preserve"> — клиникалық тұрақтылық және зертханалық маркерлердің жоғарыламауы кезінде;</w:t>
      </w:r>
    </w:p>
    <w:p w:rsidR="001F7F98" w:rsidRPr="00987493" w:rsidRDefault="001F7F98" w:rsidP="00987493">
      <w:pPr>
        <w:pStyle w:val="a5"/>
        <w:numPr>
          <w:ilvl w:val="1"/>
          <w:numId w:val="23"/>
        </w:numPr>
        <w:spacing w:before="0" w:beforeAutospacing="0" w:after="0" w:afterAutospacing="0"/>
        <w:ind w:left="567"/>
        <w:jc w:val="both"/>
        <w:rPr>
          <w:noProof/>
          <w:sz w:val="28"/>
          <w:szCs w:val="28"/>
          <w:lang w:val="kk-KZ"/>
        </w:rPr>
      </w:pPr>
      <w:r w:rsidRPr="00987493">
        <w:rPr>
          <w:rStyle w:val="a8"/>
          <w:b w:val="0"/>
          <w:noProof/>
          <w:sz w:val="28"/>
          <w:szCs w:val="28"/>
          <w:lang w:val="kk-KZ"/>
        </w:rPr>
        <w:t>орташа тәуекел</w:t>
      </w:r>
      <w:r w:rsidRPr="00987493">
        <w:rPr>
          <w:noProof/>
          <w:sz w:val="28"/>
          <w:szCs w:val="28"/>
          <w:lang w:val="kk-KZ"/>
        </w:rPr>
        <w:t xml:space="preserve"> — бір қауіп факторының болуы немесе зертханалық көрсеткіштердің орташа динамикалық өзгерістері кезінде;</w:t>
      </w:r>
    </w:p>
    <w:p w:rsidR="001F7F98" w:rsidRPr="00987493" w:rsidRDefault="001F7F98" w:rsidP="00987493">
      <w:pPr>
        <w:pStyle w:val="a5"/>
        <w:numPr>
          <w:ilvl w:val="1"/>
          <w:numId w:val="23"/>
        </w:numPr>
        <w:spacing w:before="0" w:beforeAutospacing="0" w:after="0" w:afterAutospacing="0"/>
        <w:ind w:left="567"/>
        <w:jc w:val="both"/>
        <w:rPr>
          <w:noProof/>
          <w:sz w:val="28"/>
          <w:szCs w:val="28"/>
          <w:lang w:val="kk-KZ"/>
        </w:rPr>
      </w:pPr>
      <w:r w:rsidRPr="00987493">
        <w:rPr>
          <w:rStyle w:val="a8"/>
          <w:b w:val="0"/>
          <w:noProof/>
          <w:sz w:val="28"/>
          <w:szCs w:val="28"/>
          <w:lang w:val="kk-KZ"/>
        </w:rPr>
        <w:t>жоғары тәуекел</w:t>
      </w:r>
      <w:r w:rsidRPr="00987493">
        <w:rPr>
          <w:noProof/>
          <w:sz w:val="28"/>
          <w:szCs w:val="28"/>
          <w:lang w:val="kk-KZ"/>
        </w:rPr>
        <w:t xml:space="preserve"> — екі және одан да көп қауіп факторларының үйлесуі немесе клиникалық нашарлау белгілерінің болуы кезінде.</w:t>
      </w:r>
    </w:p>
    <w:p w:rsidR="001F7F98" w:rsidRPr="00987493" w:rsidRDefault="001F7F98" w:rsidP="00987493">
      <w:pPr>
        <w:pStyle w:val="a5"/>
        <w:spacing w:before="0" w:beforeAutospacing="0" w:after="0" w:afterAutospacing="0"/>
        <w:ind w:firstLine="567"/>
        <w:jc w:val="both"/>
        <w:rPr>
          <w:noProof/>
          <w:sz w:val="28"/>
          <w:szCs w:val="28"/>
          <w:lang w:val="kk-KZ"/>
        </w:rPr>
      </w:pPr>
      <w:r w:rsidRPr="00987493">
        <w:rPr>
          <w:noProof/>
          <w:sz w:val="28"/>
          <w:szCs w:val="28"/>
          <w:lang w:val="kk-KZ"/>
        </w:rPr>
        <w:t>Әрбір санат үшін пациенттерді маршрутизациялаудың нақты критерийлері анықталды, оның ішінде тереңдетілген диагностика жүргізу, терапияны күшейту немесе қайта госпитализациялау қажеттілігі қарастырылған.</w:t>
      </w:r>
    </w:p>
    <w:p w:rsidR="001F7F98" w:rsidRPr="00987493" w:rsidRDefault="001F7F98" w:rsidP="00987493">
      <w:pPr>
        <w:pStyle w:val="a5"/>
        <w:spacing w:before="0" w:beforeAutospacing="0" w:after="0" w:afterAutospacing="0"/>
        <w:ind w:firstLine="567"/>
        <w:jc w:val="both"/>
        <w:rPr>
          <w:noProof/>
          <w:sz w:val="28"/>
          <w:szCs w:val="28"/>
          <w:lang w:val="kk-KZ"/>
        </w:rPr>
      </w:pPr>
      <w:r w:rsidRPr="00987493">
        <w:rPr>
          <w:noProof/>
          <w:sz w:val="28"/>
          <w:szCs w:val="28"/>
          <w:lang w:val="kk-KZ"/>
        </w:rPr>
        <w:t>Алгоритм клиникалық шешім қабылдау үдерісін стандарттауға, жоғары тәуекел тобына жататын пациенттерді ерте стратификациялауға және денсаулық сақтау жүйесінің стационарлық буынына түсетін жүктемені оңтайландыруға мүмкіндік береді.</w:t>
      </w:r>
    </w:p>
    <w:p w:rsidR="001F7F98" w:rsidRPr="00987493" w:rsidRDefault="001F7F98" w:rsidP="00987493">
      <w:pPr>
        <w:pStyle w:val="a5"/>
        <w:spacing w:before="0" w:beforeAutospacing="0" w:after="0" w:afterAutospacing="0"/>
        <w:ind w:firstLine="567"/>
        <w:jc w:val="both"/>
        <w:rPr>
          <w:noProof/>
          <w:sz w:val="28"/>
          <w:szCs w:val="28"/>
          <w:lang w:val="kk-KZ"/>
        </w:rPr>
      </w:pPr>
      <w:r w:rsidRPr="00987493">
        <w:rPr>
          <w:noProof/>
          <w:sz w:val="28"/>
          <w:szCs w:val="28"/>
          <w:lang w:val="kk-KZ"/>
        </w:rPr>
        <w:t>Әзірленген алгоритмдер зияткерлік меншік объектілері ретінде рәсімделіп, инфекциялық стационар мен алғашқы медициналық-санитариялық көмек ұйымдарының практикалық қызметіне енгізілді, бұл енгізу актілерімен расталған.</w:t>
      </w:r>
    </w:p>
    <w:p w:rsidR="001F7F98" w:rsidRPr="00987493" w:rsidRDefault="001F7F98" w:rsidP="00987493">
      <w:pPr>
        <w:pStyle w:val="a3"/>
        <w:rPr>
          <w:b/>
          <w:bCs/>
          <w:noProof/>
          <w:spacing w:val="-2"/>
          <w:lang w:val="kk-KZ"/>
        </w:rPr>
      </w:pPr>
      <w:r w:rsidRPr="00987493">
        <w:rPr>
          <w:b/>
          <w:bCs/>
          <w:noProof/>
          <w:spacing w:val="-2"/>
          <w:lang w:val="kk-KZ"/>
        </w:rPr>
        <w:t>Қорытындылар</w:t>
      </w:r>
    </w:p>
    <w:p w:rsidR="001F7F98" w:rsidRPr="00987493" w:rsidRDefault="001F7F98" w:rsidP="00987493">
      <w:pPr>
        <w:pStyle w:val="a3"/>
        <w:numPr>
          <w:ilvl w:val="0"/>
          <w:numId w:val="26"/>
        </w:numPr>
        <w:rPr>
          <w:bCs/>
          <w:noProof/>
          <w:spacing w:val="-2"/>
          <w:lang w:val="kk-KZ"/>
        </w:rPr>
      </w:pPr>
      <w:r w:rsidRPr="00987493">
        <w:rPr>
          <w:bCs/>
          <w:noProof/>
          <w:spacing w:val="-2"/>
          <w:lang w:val="kk-KZ"/>
        </w:rPr>
        <w:t>Госпитализацияланған коморбидті пациенттерде COVID-19-дың клиникалық ағымының ауырлығы жүйелік қабыну, коагуляция және тіндік зақымдану маркерлерінің үдемелі жоғарылауымен сенімді түрде ассоциацияланғаны анықталды. Өлім нәтижесімен аяқталған топта орташа ауыр ағыммен салыстырғанда С-реактивті ақуыз деңгейінің динамикада 4,86 есе жоғарылауы (p &lt; 0,001), лактатдегидрогеназаның 2,02 есе артуы (p &lt; 0,001), бақылау кезеңінің соңында D-димер деңгейінің 5,17 есе жоғарылауы (p &lt; 0,001), сондай-ақ госпитализация кезінде айқын лимфопенияның болуы (p &lt; 0,001) анықталды.</w:t>
      </w:r>
    </w:p>
    <w:p w:rsidR="001F7F98" w:rsidRPr="00987493" w:rsidRDefault="001F7F98" w:rsidP="00987493">
      <w:pPr>
        <w:pStyle w:val="a3"/>
        <w:numPr>
          <w:ilvl w:val="0"/>
          <w:numId w:val="26"/>
        </w:numPr>
        <w:rPr>
          <w:bCs/>
          <w:noProof/>
          <w:spacing w:val="-2"/>
          <w:lang w:val="kk-KZ"/>
        </w:rPr>
      </w:pPr>
      <w:r w:rsidRPr="00987493">
        <w:rPr>
          <w:bCs/>
          <w:noProof/>
          <w:spacing w:val="-2"/>
          <w:lang w:val="kk-KZ"/>
        </w:rPr>
        <w:t xml:space="preserve">Госпитализацияланған коморбидті пациенттерде COVID-19-дың қолайсыз нәтижесі айқын </w:t>
      </w:r>
      <w:r w:rsidR="00113AC0" w:rsidRPr="00113AC0">
        <w:rPr>
          <w:bCs/>
          <w:noProof/>
          <w:spacing w:val="-2"/>
          <w:lang w:val="kk-KZ"/>
        </w:rPr>
        <w:t>мультиморбидтілік</w:t>
      </w:r>
      <w:r w:rsidRPr="00987493">
        <w:rPr>
          <w:bCs/>
          <w:noProof/>
          <w:spacing w:val="-2"/>
          <w:lang w:val="kk-KZ"/>
        </w:rPr>
        <w:t xml:space="preserve">пен және цереброваскулярлық патологияның болуымен байланысты екені дәлелденді. Үш және одан да көп созылмалы аурулардың болуы өлім нәтижесімен аяқталған пациенттердің 60,4%-ында тіркелді, бұл қолайлы ағыммен өткен топтардағы 41,7% және 40,0% көрсеткіштермен салыстырғанда статистикалық тұрғыдан мәнді айырмашылық көрсетті (p = 0,032), мультиморбидтіліктің болжамға айтарлықтай әсер ететінін айғақтайды. </w:t>
      </w:r>
      <w:r w:rsidRPr="00987493">
        <w:rPr>
          <w:bCs/>
          <w:noProof/>
          <w:spacing w:val="-2"/>
          <w:lang w:val="kk-KZ"/>
        </w:rPr>
        <w:lastRenderedPageBreak/>
        <w:t>Көпфакторлы логистикалық талдау нәтижесінде өлім нәтижесінің тәуелсіз предикторлары ретінде цереброваскулярлық аурулардың болуы (OR = 4,40; 95% СИ: 1,12–18,94; p = 0,037), С-реактивті ақуыз деңгейінің динамикалық жоғарылауы (OR = 1,016; p = 0,003) және лактатдегидрогеназа деңгейінің динамикалық жоғарылауы (OR = 1,001; p = 0,037) анықталды. Аталған факторлар негізінде жоғары дискриминациялық қабілетке ие (AUC = 0,92) прогностикалық модель әзірленді, оның сезімталдығы 87% және спецификалығы 83%.</w:t>
      </w:r>
    </w:p>
    <w:p w:rsidR="001F7F98" w:rsidRPr="00987493" w:rsidRDefault="001F7F98" w:rsidP="00987493">
      <w:pPr>
        <w:pStyle w:val="a3"/>
        <w:numPr>
          <w:ilvl w:val="0"/>
          <w:numId w:val="26"/>
        </w:numPr>
        <w:rPr>
          <w:bCs/>
          <w:noProof/>
          <w:spacing w:val="-2"/>
          <w:lang w:val="kk-KZ"/>
        </w:rPr>
      </w:pPr>
      <w:r w:rsidRPr="00987493">
        <w:rPr>
          <w:bCs/>
          <w:noProof/>
          <w:spacing w:val="-2"/>
          <w:lang w:val="kk-KZ"/>
        </w:rPr>
        <w:t>Госпитализацияланған коморбидті пациенттерде клиникалық жағдайдың ауырлауына қарай этиопатогенетикалық терапияның қарқындылығы статистикалық тұрғыдан мәнді артатыны анықталды. Дексаметазон өлім нәтижесімен аяқталған топта орташа ауыр топпен салыстырғанда 1,36 есе жиі тағайындалды (89,6% қарсы 65,7%; p = 0,001), фракцияланбаған гепарин 3,1 есе жиі қолданылды (70,8% қарсы 23,1%; p &lt; 0,001), ремдесивир 93,8% жағдайда тағайындалды, бұл орташа ауыр топтағы 76,9% көрсеткішінен жоғары (p = 0,03). Терапияның эскалациясы бастапқы клиникалық ауырлық дәрежесін көрсететіні және қатаң клиникалық көрсеткіштер бойынша жүргізілгені анықталды. Көпфакторлы талдау жағдайында аталған препараттардың леталдылыққа тәуелсіз протективті әсері анықталған жоқ.</w:t>
      </w:r>
    </w:p>
    <w:p w:rsidR="001F7F98" w:rsidRPr="00987493" w:rsidRDefault="001F7F98" w:rsidP="00987493">
      <w:pPr>
        <w:pStyle w:val="a3"/>
        <w:numPr>
          <w:ilvl w:val="0"/>
          <w:numId w:val="26"/>
        </w:numPr>
        <w:rPr>
          <w:bCs/>
          <w:noProof/>
          <w:spacing w:val="-2"/>
          <w:lang w:val="kk-KZ"/>
        </w:rPr>
      </w:pPr>
      <w:r w:rsidRPr="00987493">
        <w:rPr>
          <w:bCs/>
          <w:noProof/>
          <w:spacing w:val="-2"/>
          <w:lang w:val="kk-KZ"/>
        </w:rPr>
        <w:t>Ремдесивирді емдеу сызбасына енгізу тікелей медициналық шығындарды 14,4%-ға арттыратыны анықталды, бұл бір пациентке шаққанда 97 490 ₸ инкременттік шығынға сәйкес келеді. «Шығын–тиімділік» көрсеткіші ремдесивир қолданылғанда 1 009 852 ₸, ал қолданылмаған жағдайда 724 821 ₸ құрады. «Шығын–пайдалылық» көрсеткіші (cost-utility) ремдесивир қолданылғанда бір QALY үшін 368 995 ₸, ал қолданылмаған жағдайда 263 828 ₸ болды. Ремдесивир қолданылған топтағы өлім нәтижесінің салыстырмалы қаупі (RR = 3,44) салыстырылатын топтар арасындағы бастапқы клиникалық ауырлық айырмашылығымен түсіндіріледі және терапияның леталдылыққа тікелей себептік әсерін білдірмейді.</w:t>
      </w:r>
    </w:p>
    <w:p w:rsidR="001F7F98" w:rsidRDefault="001F7F98" w:rsidP="00987493">
      <w:pPr>
        <w:pStyle w:val="a3"/>
        <w:numPr>
          <w:ilvl w:val="0"/>
          <w:numId w:val="26"/>
        </w:numPr>
        <w:rPr>
          <w:bCs/>
          <w:noProof/>
          <w:spacing w:val="-2"/>
          <w:lang w:val="kk-KZ"/>
        </w:rPr>
      </w:pPr>
      <w:r w:rsidRPr="00987493">
        <w:rPr>
          <w:bCs/>
          <w:noProof/>
          <w:spacing w:val="-2"/>
          <w:lang w:val="kk-KZ"/>
        </w:rPr>
        <w:t>Коморбидті патологиясы бар COVID-19 реконвалесценттерін динамикалық амбулаторлық бақылаудың тәуекелге бағдарланған алгоритмі әзірленді. Алгоритм стационардан шығарылғаннан кейін 3–5 тәулік ішінде бастапқы бақылауды және жеке тәуекел деңгейіне байланысты (әр 3–5, 7–10 немесе 14 тәулікте) кейінгі мониторингтің сараланған жиілігін қарастырады. Алгоритмді қолдану клиникалық дестабилизация белгілерін ерте анықтауға және амбулаторлық кезеңде пациенттерді тиімді маршрутизациялауға мүмкіндік береді.</w:t>
      </w:r>
    </w:p>
    <w:p w:rsidR="00A64664" w:rsidRDefault="00A64664" w:rsidP="00A64664">
      <w:pPr>
        <w:pStyle w:val="a3"/>
        <w:rPr>
          <w:bCs/>
          <w:noProof/>
          <w:spacing w:val="-2"/>
          <w:lang w:val="kk-KZ"/>
        </w:rPr>
      </w:pPr>
    </w:p>
    <w:p w:rsidR="00A64664" w:rsidRDefault="00A64664" w:rsidP="00A64664">
      <w:pPr>
        <w:pStyle w:val="a3"/>
        <w:rPr>
          <w:bCs/>
          <w:noProof/>
          <w:spacing w:val="-2"/>
          <w:lang w:val="kk-KZ"/>
        </w:rPr>
      </w:pPr>
    </w:p>
    <w:p w:rsidR="00A64664" w:rsidRDefault="00A64664" w:rsidP="00A64664">
      <w:pPr>
        <w:pStyle w:val="a3"/>
        <w:rPr>
          <w:bCs/>
          <w:noProof/>
          <w:spacing w:val="-2"/>
          <w:lang w:val="kk-KZ"/>
        </w:rPr>
      </w:pPr>
    </w:p>
    <w:p w:rsidR="00A64664" w:rsidRDefault="00A64664" w:rsidP="00A64664">
      <w:pPr>
        <w:pStyle w:val="a3"/>
        <w:rPr>
          <w:bCs/>
          <w:noProof/>
          <w:spacing w:val="-2"/>
          <w:lang w:val="kk-KZ"/>
        </w:rPr>
      </w:pPr>
    </w:p>
    <w:p w:rsidR="00A64664" w:rsidRDefault="00A64664" w:rsidP="00A64664">
      <w:pPr>
        <w:pStyle w:val="a3"/>
        <w:rPr>
          <w:bCs/>
          <w:noProof/>
          <w:spacing w:val="-2"/>
          <w:lang w:val="kk-KZ"/>
        </w:rPr>
      </w:pPr>
    </w:p>
    <w:p w:rsidR="00A64664" w:rsidRPr="00987493" w:rsidRDefault="00A64664" w:rsidP="00A64664">
      <w:pPr>
        <w:pStyle w:val="a3"/>
        <w:rPr>
          <w:bCs/>
          <w:noProof/>
          <w:spacing w:val="-2"/>
          <w:lang w:val="kk-KZ"/>
        </w:rPr>
      </w:pPr>
      <w:bookmarkStart w:id="0" w:name="_GoBack"/>
      <w:bookmarkEnd w:id="0"/>
    </w:p>
    <w:p w:rsidR="00E20649" w:rsidRPr="00987493" w:rsidRDefault="00E20649" w:rsidP="00987493">
      <w:pPr>
        <w:pStyle w:val="a3"/>
        <w:rPr>
          <w:noProof/>
          <w:lang w:val="kk-KZ"/>
        </w:rPr>
      </w:pPr>
    </w:p>
    <w:p w:rsidR="001F7F98" w:rsidRPr="00987493" w:rsidRDefault="001F7F98" w:rsidP="00987493">
      <w:pPr>
        <w:ind w:firstLine="567"/>
        <w:jc w:val="both"/>
        <w:rPr>
          <w:b/>
          <w:bCs/>
          <w:noProof/>
          <w:sz w:val="28"/>
          <w:szCs w:val="28"/>
          <w:lang w:val="kk-KZ"/>
        </w:rPr>
      </w:pPr>
      <w:r w:rsidRPr="00987493">
        <w:rPr>
          <w:b/>
          <w:bCs/>
          <w:noProof/>
          <w:sz w:val="28"/>
          <w:szCs w:val="28"/>
          <w:lang w:val="kk-KZ"/>
        </w:rPr>
        <w:lastRenderedPageBreak/>
        <w:t>Пайдаланылған әдебиеттер тізімі</w:t>
      </w:r>
    </w:p>
    <w:p w:rsidR="000D4809" w:rsidRPr="00987493" w:rsidRDefault="000D4809" w:rsidP="00987493">
      <w:pPr>
        <w:jc w:val="both"/>
        <w:rPr>
          <w:b/>
          <w:bCs/>
          <w:noProof/>
          <w:sz w:val="28"/>
          <w:szCs w:val="28"/>
          <w:lang w:val="kk-KZ"/>
        </w:rPr>
      </w:pPr>
    </w:p>
    <w:p w:rsidR="00057393" w:rsidRPr="00987493" w:rsidRDefault="00057393" w:rsidP="00987493">
      <w:pPr>
        <w:pStyle w:val="a5"/>
        <w:numPr>
          <w:ilvl w:val="0"/>
          <w:numId w:val="14"/>
        </w:numPr>
        <w:tabs>
          <w:tab w:val="left" w:pos="993"/>
        </w:tabs>
        <w:spacing w:before="0" w:beforeAutospacing="0" w:after="0" w:afterAutospacing="0"/>
        <w:ind w:left="0" w:firstLine="567"/>
        <w:jc w:val="both"/>
        <w:rPr>
          <w:noProof/>
          <w:sz w:val="28"/>
          <w:szCs w:val="28"/>
          <w:lang w:val="kk-KZ"/>
        </w:rPr>
      </w:pPr>
      <w:r w:rsidRPr="00987493">
        <w:rPr>
          <w:noProof/>
          <w:sz w:val="28"/>
          <w:szCs w:val="28"/>
          <w:lang w:val="kk-KZ"/>
        </w:rPr>
        <w:t>Koelle K., Martin M.A., Antia R. et al. The changing epidemiology of SARS-CoV-2 // Science. – 2022. – Vol. 375. – P. 1116–1121.</w:t>
      </w:r>
    </w:p>
    <w:p w:rsidR="00E3354B" w:rsidRPr="00987493" w:rsidRDefault="00E3354B" w:rsidP="00987493">
      <w:pPr>
        <w:pStyle w:val="a5"/>
        <w:numPr>
          <w:ilvl w:val="0"/>
          <w:numId w:val="14"/>
        </w:numPr>
        <w:tabs>
          <w:tab w:val="left" w:pos="993"/>
        </w:tabs>
        <w:spacing w:before="0" w:beforeAutospacing="0" w:after="0" w:afterAutospacing="0"/>
        <w:ind w:left="0" w:firstLine="567"/>
        <w:jc w:val="both"/>
        <w:rPr>
          <w:noProof/>
          <w:sz w:val="28"/>
          <w:szCs w:val="28"/>
          <w:lang w:val="kk-KZ"/>
        </w:rPr>
      </w:pPr>
      <w:r w:rsidRPr="00987493">
        <w:rPr>
          <w:noProof/>
          <w:sz w:val="28"/>
          <w:szCs w:val="28"/>
          <w:lang w:val="kk-KZ"/>
        </w:rPr>
        <w:t>Carabelli A.M., Peacock T.P., Thorne L.G. и др. SARS-CoV-2 variant biology: immune escape, transmission and pathogenesis // Nature Reviews Microbiology. – 2023. – Vol. 21, No. 5. – P. 315–327. – DOI: 10.1038/s41579-022-00841-7.</w:t>
      </w:r>
    </w:p>
    <w:p w:rsidR="00E3354B" w:rsidRPr="00987493" w:rsidRDefault="00E3354B" w:rsidP="00987493">
      <w:pPr>
        <w:pStyle w:val="a5"/>
        <w:numPr>
          <w:ilvl w:val="0"/>
          <w:numId w:val="14"/>
        </w:numPr>
        <w:tabs>
          <w:tab w:val="left" w:pos="993"/>
        </w:tabs>
        <w:spacing w:before="0" w:beforeAutospacing="0" w:after="0" w:afterAutospacing="0"/>
        <w:ind w:left="0" w:firstLine="567"/>
        <w:jc w:val="both"/>
        <w:rPr>
          <w:noProof/>
          <w:sz w:val="28"/>
          <w:szCs w:val="28"/>
          <w:lang w:val="kk-KZ"/>
        </w:rPr>
      </w:pPr>
      <w:r w:rsidRPr="00987493">
        <w:rPr>
          <w:noProof/>
          <w:sz w:val="28"/>
          <w:szCs w:val="28"/>
          <w:lang w:val="kk-KZ"/>
        </w:rPr>
        <w:t xml:space="preserve">Davis H.E., McCorkell L., Vogel J.M., Topol E.J. Long COVID: major findings, mechanisms and recommendations // Nature Reviews Microbiology. – 2023. – Vol. 21, No. 3. – P. 133–146. – DOI: 10.1038/s41579-022-00846-2. </w:t>
      </w:r>
    </w:p>
    <w:p w:rsidR="000D4809" w:rsidRPr="00987493" w:rsidRDefault="00E3354B" w:rsidP="00987493">
      <w:pPr>
        <w:pStyle w:val="a5"/>
        <w:numPr>
          <w:ilvl w:val="0"/>
          <w:numId w:val="14"/>
        </w:numPr>
        <w:tabs>
          <w:tab w:val="left" w:pos="993"/>
        </w:tabs>
        <w:spacing w:before="0" w:beforeAutospacing="0" w:after="0" w:afterAutospacing="0"/>
        <w:ind w:left="0" w:firstLine="567"/>
        <w:jc w:val="both"/>
        <w:rPr>
          <w:noProof/>
          <w:sz w:val="28"/>
          <w:szCs w:val="28"/>
          <w:lang w:val="kk-KZ"/>
        </w:rPr>
      </w:pPr>
      <w:r w:rsidRPr="00987493">
        <w:rPr>
          <w:noProof/>
          <w:sz w:val="28"/>
          <w:szCs w:val="28"/>
          <w:lang w:val="kk-KZ"/>
        </w:rPr>
        <w:t>Wang H., Paulson K.R., Pease S.A. и др. Estimating global excess mortality due to the COVID-19 pandemic, 2020–2021 // The Lancet. – 2022. – Vol. 399. – P. 1513–1536. – DOI: 10.1016/S0140-6736(21)02796-3.</w:t>
      </w:r>
    </w:p>
    <w:p w:rsidR="003858D5" w:rsidRPr="00987493" w:rsidRDefault="003858D5"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noProof/>
          <w:sz w:val="28"/>
          <w:szCs w:val="28"/>
          <w:lang w:val="kk-KZ" w:eastAsia="ru-RU"/>
        </w:rPr>
        <w:t xml:space="preserve">World Health Organization. WHO Coronavirus (COVID-19) Dashboard [Электронный ресурс]. – Женева: WHO, 2024. – Режим доступа: </w:t>
      </w:r>
      <w:hyperlink r:id="rId5" w:tgtFrame="_new" w:history="1">
        <w:r w:rsidRPr="00987493">
          <w:rPr>
            <w:rStyle w:val="a6"/>
            <w:noProof/>
            <w:sz w:val="28"/>
            <w:szCs w:val="28"/>
            <w:lang w:val="kk-KZ" w:eastAsia="ru-RU"/>
          </w:rPr>
          <w:t>https://covid19.who.int</w:t>
        </w:r>
      </w:hyperlink>
      <w:r w:rsidRPr="00987493">
        <w:rPr>
          <w:noProof/>
          <w:sz w:val="28"/>
          <w:szCs w:val="28"/>
          <w:lang w:val="kk-KZ" w:eastAsia="ru-RU"/>
        </w:rPr>
        <w:t xml:space="preserve"> (дата обращения: 15.</w:t>
      </w:r>
      <w:r w:rsidR="00CD34C8" w:rsidRPr="00987493">
        <w:rPr>
          <w:noProof/>
          <w:sz w:val="28"/>
          <w:szCs w:val="28"/>
          <w:lang w:val="kk-KZ" w:eastAsia="ru-RU"/>
        </w:rPr>
        <w:t>12</w:t>
      </w:r>
      <w:r w:rsidRPr="00987493">
        <w:rPr>
          <w:noProof/>
          <w:sz w:val="28"/>
          <w:szCs w:val="28"/>
          <w:lang w:val="kk-KZ" w:eastAsia="ru-RU"/>
        </w:rPr>
        <w:t>.202</w:t>
      </w:r>
      <w:r w:rsidR="00CD34C8" w:rsidRPr="00987493">
        <w:rPr>
          <w:noProof/>
          <w:sz w:val="28"/>
          <w:szCs w:val="28"/>
          <w:lang w:val="kk-KZ" w:eastAsia="ru-RU"/>
        </w:rPr>
        <w:t>5</w:t>
      </w:r>
      <w:r w:rsidRPr="00987493">
        <w:rPr>
          <w:noProof/>
          <w:sz w:val="28"/>
          <w:szCs w:val="28"/>
          <w:lang w:val="kk-KZ" w:eastAsia="ru-RU"/>
        </w:rPr>
        <w:t>)</w:t>
      </w:r>
    </w:p>
    <w:p w:rsidR="002566D9" w:rsidRPr="00987493" w:rsidRDefault="002566D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Williamson E.J., Walker A.J., Bhaskaran K. и др. Factors associated with COVID-19-related death using OpenSAFELY // Nature. – 2022. – Vol. 584. – P. 430–436. – DOI: 10.1038/s41586-020-2521-4.</w:t>
      </w:r>
    </w:p>
    <w:p w:rsidR="000D4809" w:rsidRPr="00987493" w:rsidRDefault="00E3354B"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Cho H., Lee Y., Kim J., et al. Obesity and mortality in patients with COVID-19: a systematic review and meta-analysis of prospective cohort studies // </w:t>
      </w:r>
      <w:r w:rsidRPr="00987493">
        <w:rPr>
          <w:bCs/>
          <w:i/>
          <w:iCs/>
          <w:noProof/>
          <w:sz w:val="28"/>
          <w:szCs w:val="28"/>
          <w:lang w:val="kk-KZ"/>
        </w:rPr>
        <w:t>Frontiers in Medicine</w:t>
      </w:r>
      <w:r w:rsidRPr="00987493">
        <w:rPr>
          <w:bCs/>
          <w:noProof/>
          <w:sz w:val="28"/>
          <w:szCs w:val="28"/>
          <w:lang w:val="kk-KZ"/>
        </w:rPr>
        <w:t>. – 2024. – Article 11170013. – DOI: 10.3389/fmed.2024.11170013</w:t>
      </w:r>
      <w:r w:rsidR="000D4809" w:rsidRPr="00987493">
        <w:rPr>
          <w:bCs/>
          <w:noProof/>
          <w:sz w:val="28"/>
          <w:szCs w:val="28"/>
          <w:lang w:val="kk-KZ"/>
        </w:rPr>
        <w:t>.</w:t>
      </w:r>
    </w:p>
    <w:p w:rsidR="000D4809" w:rsidRPr="00987493" w:rsidRDefault="00F643B3"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Nigatu B.Z., Dessie N.T. Prevalence of comorbidities and their association with disease severity and mortality in COVID-19 patients: a systematic review and meta-analysis // </w:t>
      </w:r>
      <w:r w:rsidRPr="00987493">
        <w:rPr>
          <w:bCs/>
          <w:iCs/>
          <w:noProof/>
          <w:sz w:val="28"/>
          <w:szCs w:val="28"/>
          <w:lang w:val="kk-KZ"/>
        </w:rPr>
        <w:t>Journal of Multimorbidity and Comorbidity</w:t>
      </w:r>
      <w:r w:rsidRPr="00987493">
        <w:rPr>
          <w:bCs/>
          <w:noProof/>
          <w:sz w:val="28"/>
          <w:szCs w:val="28"/>
          <w:lang w:val="kk-KZ"/>
        </w:rPr>
        <w:t>. – 2025. – Vol. 15. – Article: 26335565251371256. – DOI: 10.1177/26335565251371256.</w:t>
      </w:r>
    </w:p>
    <w:p w:rsidR="000D4809" w:rsidRPr="00987493" w:rsidRDefault="00F643B3"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Chapman A.R., Kistler P.M., Lee K.K., et al. Risk of severe outcomes from COVID-19 in comorbid populations: a meta-analytical evaluation // </w:t>
      </w:r>
      <w:r w:rsidRPr="00987493">
        <w:rPr>
          <w:bCs/>
          <w:i/>
          <w:iCs/>
          <w:noProof/>
          <w:sz w:val="28"/>
          <w:szCs w:val="28"/>
          <w:lang w:val="kk-KZ"/>
        </w:rPr>
        <w:t xml:space="preserve">Global </w:t>
      </w:r>
      <w:r w:rsidRPr="00987493">
        <w:rPr>
          <w:bCs/>
          <w:iCs/>
          <w:noProof/>
          <w:sz w:val="28"/>
          <w:szCs w:val="28"/>
          <w:lang w:val="kk-KZ"/>
        </w:rPr>
        <w:t>Epidemiology</w:t>
      </w:r>
      <w:r w:rsidRPr="00987493">
        <w:rPr>
          <w:bCs/>
          <w:noProof/>
          <w:sz w:val="28"/>
          <w:szCs w:val="28"/>
          <w:lang w:val="kk-KZ"/>
        </w:rPr>
        <w:t>. – 2025. – Vol. 8. – P. 15–39. – DOI: 10.1016/j.globep.2025.01.003</w:t>
      </w:r>
      <w:r w:rsidR="000D4809" w:rsidRPr="00987493">
        <w:rPr>
          <w:bCs/>
          <w:noProof/>
          <w:sz w:val="28"/>
          <w:szCs w:val="28"/>
          <w:lang w:val="kk-KZ"/>
        </w:rPr>
        <w:t>.</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F643B3" w:rsidRPr="00987493">
        <w:rPr>
          <w:noProof/>
          <w:sz w:val="28"/>
          <w:szCs w:val="28"/>
          <w:lang w:val="kk-KZ" w:eastAsia="ru-RU"/>
        </w:rPr>
        <w:t xml:space="preserve">Шербак С.Г., Сарана А.М., Анисенкова А.Ю., и др. Влияние сопутствующих заболеваний на тяжесть течения COVID-19: систематический обзор // </w:t>
      </w:r>
      <w:r w:rsidR="00F643B3" w:rsidRPr="00987493">
        <w:rPr>
          <w:iCs/>
          <w:noProof/>
          <w:sz w:val="28"/>
          <w:szCs w:val="28"/>
          <w:lang w:val="kk-KZ" w:eastAsia="ru-RU"/>
        </w:rPr>
        <w:t>Университетский терапевтический вестник</w:t>
      </w:r>
      <w:r w:rsidR="00F643B3" w:rsidRPr="00987493">
        <w:rPr>
          <w:noProof/>
          <w:sz w:val="28"/>
          <w:szCs w:val="28"/>
          <w:lang w:val="kk-KZ" w:eastAsia="ru-RU"/>
        </w:rPr>
        <w:t>. – 2024. – Т. 6, № 1. – С. 26–48. – DOI: 10.56871/UTJ.2024.35.52.003.</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Gasmi A., Peana M., Pivina L. et al. Interrelations between COVID-19 and other disorders // Clinical Immunology. – 2021. – Vol. 224. – P. 108651.</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Del Sole F., Farcomeni A., Loffredo L. et al. Features of severe COVID-19: a systematic review and meta-analysis // European Journal of Clinical Investigation. – 2020. – Vol. 50, No. 10. – e13378.</w:t>
      </w:r>
    </w:p>
    <w:p w:rsidR="00F6720A"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F6720A" w:rsidRPr="00987493">
        <w:rPr>
          <w:bCs/>
          <w:noProof/>
          <w:sz w:val="28"/>
          <w:szCs w:val="28"/>
          <w:lang w:val="kk-KZ"/>
        </w:rPr>
        <w:t>Молочков А.В., Каратеев Д.Е., Огнева Е.Ю. и др. Коморбидность и прогноз исходов COVID-19: результаты лечения 13 585 пациентов, госпитализированных в Московской области // Анналы клинической и экспериментальной медицины. – 2020. – Т. 48, прил. 1. – С. 1–10. – DOI: 10.18786/2072-0505-2020-48-040.</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lastRenderedPageBreak/>
        <w:t xml:space="preserve"> </w:t>
      </w:r>
      <w:r w:rsidR="005B2A2F" w:rsidRPr="00987493">
        <w:rPr>
          <w:bCs/>
          <w:noProof/>
          <w:sz w:val="28"/>
          <w:szCs w:val="28"/>
          <w:lang w:val="kk-KZ"/>
        </w:rPr>
        <w:t>Li C., Zhang Y., Wang Y. и др. Associations of diabetes, hypertension and obesity with COVID-19 mortality: a systematic review and meta-analysis // BMJ Global Health. – 2023. – Vol. 8, No. 12. – e012581. – DOI: 10.1136/bmjgh-2023-012581</w:t>
      </w:r>
      <w:r w:rsidRPr="00987493">
        <w:rPr>
          <w:bCs/>
          <w:noProof/>
          <w:sz w:val="28"/>
          <w:szCs w:val="28"/>
          <w:lang w:val="kk-KZ"/>
        </w:rPr>
        <w:t>.</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F44051" w:rsidRPr="00987493">
        <w:rPr>
          <w:bCs/>
          <w:noProof/>
          <w:sz w:val="28"/>
          <w:szCs w:val="28"/>
          <w:lang w:val="kk-KZ"/>
        </w:rPr>
        <w:t>Xie Y., Choi T., Al-Aly Z. Risks of severe outcomes among patients with multiple comorbidities and COVID-19 // Nature Medicine. – 2023. – Vol. 29. – P. 1234–1242. – DOI: 10.1038/s41591-023-02345-7</w:t>
      </w:r>
      <w:r w:rsidR="005B2A2F" w:rsidRPr="00987493">
        <w:rPr>
          <w:bCs/>
          <w:noProof/>
          <w:sz w:val="28"/>
          <w:szCs w:val="28"/>
          <w:lang w:val="kk-KZ"/>
        </w:rPr>
        <w:t>.</w:t>
      </w:r>
    </w:p>
    <w:p w:rsidR="005B2A2F"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5B2A2F" w:rsidRPr="00987493">
        <w:rPr>
          <w:bCs/>
          <w:noProof/>
          <w:sz w:val="28"/>
          <w:szCs w:val="28"/>
          <w:lang w:val="kk-KZ"/>
        </w:rPr>
        <w:t>Tay M.Z., Poh C.M., Rénia L. и др. The trinity of COVID-19: immunity, inflammation and intervention // Nature Reviews Immunology. – 2022. – Vol. 22. – P. 99–111. – DOI: 10.1038/s41577-021-00668-6.</w:t>
      </w:r>
    </w:p>
    <w:p w:rsidR="00AD6C50" w:rsidRPr="00987493" w:rsidRDefault="000D4809" w:rsidP="00987493">
      <w:pPr>
        <w:pStyle w:val="a4"/>
        <w:numPr>
          <w:ilvl w:val="0"/>
          <w:numId w:val="14"/>
        </w:numPr>
        <w:tabs>
          <w:tab w:val="left" w:pos="993"/>
        </w:tabs>
        <w:ind w:left="142" w:firstLine="425"/>
        <w:rPr>
          <w:bCs/>
          <w:noProof/>
          <w:sz w:val="28"/>
          <w:szCs w:val="28"/>
          <w:lang w:val="kk-KZ"/>
        </w:rPr>
      </w:pPr>
      <w:r w:rsidRPr="00987493">
        <w:rPr>
          <w:bCs/>
          <w:noProof/>
          <w:sz w:val="28"/>
          <w:szCs w:val="28"/>
          <w:lang w:val="kk-KZ"/>
        </w:rPr>
        <w:t xml:space="preserve"> </w:t>
      </w:r>
      <w:r w:rsidR="001763C1" w:rsidRPr="00987493">
        <w:rPr>
          <w:bCs/>
          <w:noProof/>
          <w:sz w:val="28"/>
          <w:szCs w:val="28"/>
          <w:lang w:val="kk-KZ"/>
        </w:rPr>
        <w:t>Merad M., Blish C.A., Sallusto F., Iwasaki A. The immunology and immunopathology of COVID-19 // Science. – 2022. – Vol. 375, No. 6585. – eabm8108. – DOI: 10.1126/science.abm8108.</w:t>
      </w:r>
    </w:p>
    <w:p w:rsidR="00AD6C50" w:rsidRPr="00987493" w:rsidRDefault="00AD6C50" w:rsidP="00987493">
      <w:pPr>
        <w:pStyle w:val="a4"/>
        <w:numPr>
          <w:ilvl w:val="0"/>
          <w:numId w:val="14"/>
        </w:numPr>
        <w:tabs>
          <w:tab w:val="left" w:pos="993"/>
        </w:tabs>
        <w:ind w:left="142" w:firstLine="425"/>
        <w:rPr>
          <w:bCs/>
          <w:noProof/>
          <w:sz w:val="28"/>
          <w:szCs w:val="28"/>
          <w:lang w:val="kk-KZ"/>
        </w:rPr>
      </w:pPr>
      <w:r w:rsidRPr="00987493">
        <w:rPr>
          <w:noProof/>
          <w:lang w:val="kk-KZ"/>
        </w:rPr>
        <w:t xml:space="preserve"> </w:t>
      </w:r>
      <w:r w:rsidRPr="00987493">
        <w:rPr>
          <w:bCs/>
          <w:noProof/>
          <w:sz w:val="28"/>
          <w:szCs w:val="28"/>
          <w:lang w:val="kk-KZ"/>
        </w:rPr>
        <w:t>Booth A., Reed A.B., Ponzo S. и др. Population risk factors for severe disease and mortality in COVID-19: a global systematic review and meta-analysis // PLoS One. – 2021. – Vol. 16, No. 3. – e0247461. – DOI: 10.1371/journal.pone.0247461.</w:t>
      </w:r>
    </w:p>
    <w:p w:rsidR="001763C1"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1763C1" w:rsidRPr="00987493">
        <w:rPr>
          <w:bCs/>
          <w:noProof/>
          <w:sz w:val="28"/>
          <w:szCs w:val="28"/>
          <w:lang w:val="kk-KZ"/>
        </w:rPr>
        <w:t>Del Valle D.M., Kim-Schulze S., Huang H.H. и др. An inflammatory cytokine signature predicts COVID-19 severity and survival // Nature Medicine. – 2022. – Vol. 28. – P. 1636–1643. – DOI: 10.1038/s41591-020-1051-9.</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1763C1" w:rsidRPr="00987493">
        <w:rPr>
          <w:bCs/>
          <w:noProof/>
          <w:sz w:val="28"/>
          <w:szCs w:val="28"/>
          <w:lang w:val="kk-KZ"/>
        </w:rPr>
        <w:t>Vabret N., Britton G.J., Gruber C. и др. Immunology of COVID-19: current state of the science // Immunity. – 2022. – Vol. 55. – P. 910–941. – DOI: 10.1016/j.immuni.2022.05.003.</w:t>
      </w:r>
    </w:p>
    <w:p w:rsidR="003F0584" w:rsidRPr="00987493" w:rsidRDefault="003F0584"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Docherty A.B., Harrison E.M., Green C.A. и др. Features of 20 133 UK patients in hospital with COVID-19 using the ISARIC WHO Clinical Characterisation Protocol: prospective observational cohort study // BMJ. – 2022. – Vol. 369. – m1985. – DOI: 10.1136/bmj.m1985.</w:t>
      </w:r>
    </w:p>
    <w:p w:rsidR="000D4809" w:rsidRPr="00987493" w:rsidRDefault="002566D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Clark A., Jit M., Warren-Gash C. et al. Global, regional, and national estimates of the population at increased risk of severe COVID-19 due to underlying health conditions // The Lancet Global Health. – 2022. – Vol. 8. – P. e1003–e1017.</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1763C1" w:rsidRPr="00987493">
        <w:rPr>
          <w:bCs/>
          <w:noProof/>
          <w:sz w:val="28"/>
          <w:szCs w:val="28"/>
          <w:lang w:val="kk-KZ"/>
        </w:rPr>
        <w:t>Ng J.H., Hirsch J.S., Wanchoo R. и др. Outcomes of patients with COVID-19 and chronic kidney disease: a meta-analysis // Kidney International Reports. – 2023. – Vol. 8. – P. 101–112. – DOI: 10.1016/j.ekir.2022.10.015</w:t>
      </w:r>
      <w:r w:rsidRPr="00987493">
        <w:rPr>
          <w:bCs/>
          <w:noProof/>
          <w:sz w:val="28"/>
          <w:szCs w:val="28"/>
          <w:lang w:val="kk-KZ"/>
        </w:rPr>
        <w:t>.</w:t>
      </w:r>
    </w:p>
    <w:p w:rsidR="000D4809" w:rsidRPr="00987493" w:rsidRDefault="000D4809" w:rsidP="00987493">
      <w:pPr>
        <w:widowControl/>
        <w:numPr>
          <w:ilvl w:val="0"/>
          <w:numId w:val="14"/>
        </w:numPr>
        <w:tabs>
          <w:tab w:val="left" w:pos="993"/>
        </w:tabs>
        <w:autoSpaceDE/>
        <w:autoSpaceDN/>
        <w:ind w:left="0" w:firstLine="567"/>
        <w:contextualSpacing/>
        <w:jc w:val="both"/>
        <w:rPr>
          <w:bCs/>
          <w:noProof/>
          <w:sz w:val="28"/>
          <w:szCs w:val="28"/>
          <w:lang w:val="kk-KZ"/>
        </w:rPr>
      </w:pPr>
      <w:r w:rsidRPr="00987493">
        <w:rPr>
          <w:bCs/>
          <w:noProof/>
          <w:sz w:val="28"/>
          <w:szCs w:val="28"/>
          <w:lang w:val="kk-KZ"/>
        </w:rPr>
        <w:t xml:space="preserve"> </w:t>
      </w:r>
      <w:r w:rsidR="001763C1" w:rsidRPr="00987493">
        <w:rPr>
          <w:bCs/>
          <w:noProof/>
          <w:sz w:val="28"/>
          <w:szCs w:val="28"/>
          <w:lang w:val="kk-KZ"/>
        </w:rPr>
        <w:t>Lee L.Y.W., Cazier J.B., Starkey T. и др. COVID-19 mortality in patients with cancer on chemotherapy or other anticancer treatments: a prospective cohort study // The Lancet Oncology. – 2022. – Vol. 23. – P. 115–125. – DOI: 10.1016/S1470-2045(21)00689-9</w:t>
      </w:r>
      <w:r w:rsidRPr="00987493">
        <w:rPr>
          <w:bCs/>
          <w:noProof/>
          <w:sz w:val="28"/>
          <w:szCs w:val="28"/>
          <w:lang w:val="kk-KZ"/>
        </w:rPr>
        <w:t>.</w:t>
      </w:r>
    </w:p>
    <w:p w:rsidR="00E20649" w:rsidRPr="00987493" w:rsidRDefault="00E20649" w:rsidP="000D4809">
      <w:pPr>
        <w:pStyle w:val="1"/>
        <w:ind w:left="718" w:right="138"/>
        <w:jc w:val="center"/>
        <w:rPr>
          <w:noProof/>
          <w:lang w:val="kk-KZ"/>
        </w:rPr>
      </w:pPr>
    </w:p>
    <w:sectPr w:rsidR="00E20649" w:rsidRPr="00987493" w:rsidSect="001763C1">
      <w:pgSz w:w="11900" w:h="16850"/>
      <w:pgMar w:top="1134" w:right="708" w:bottom="1134"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46C87"/>
    <w:multiLevelType w:val="multilevel"/>
    <w:tmpl w:val="97E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94F2E"/>
    <w:multiLevelType w:val="hybridMultilevel"/>
    <w:tmpl w:val="C7EEAE88"/>
    <w:lvl w:ilvl="0" w:tplc="48AA251A">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15:restartNumberingAfterBreak="0">
    <w:nsid w:val="0F817959"/>
    <w:multiLevelType w:val="hybridMultilevel"/>
    <w:tmpl w:val="2F0899A2"/>
    <w:lvl w:ilvl="0" w:tplc="E75E7FA8">
      <w:start w:val="1"/>
      <w:numFmt w:val="decimal"/>
      <w:lvlText w:val="%1)"/>
      <w:lvlJc w:val="left"/>
      <w:pPr>
        <w:ind w:left="720" w:hanging="360"/>
      </w:pPr>
      <w:rPr>
        <w:rFonts w:hint="default"/>
        <w:spacing w:val="0"/>
        <w:kern w:val="0"/>
        <w14:stylisticSets>
          <w14:styleSet w14:id="1"/>
        </w14:stylisticSet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842ED"/>
    <w:multiLevelType w:val="hybridMultilevel"/>
    <w:tmpl w:val="64BC156E"/>
    <w:lvl w:ilvl="0" w:tplc="E75E7FA8">
      <w:start w:val="1"/>
      <w:numFmt w:val="decimal"/>
      <w:lvlText w:val="%1)"/>
      <w:lvlJc w:val="left"/>
      <w:pPr>
        <w:ind w:left="720" w:hanging="360"/>
      </w:pPr>
      <w:rPr>
        <w:rFonts w:hint="default"/>
        <w:spacing w:val="0"/>
        <w:kern w:val="0"/>
        <w14:stylisticSets>
          <w14:styleSet w14:id="1"/>
        </w14:stylisticSet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91E4F"/>
    <w:multiLevelType w:val="multilevel"/>
    <w:tmpl w:val="D2B884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D3683"/>
    <w:multiLevelType w:val="multilevel"/>
    <w:tmpl w:val="21A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85148"/>
    <w:multiLevelType w:val="multilevel"/>
    <w:tmpl w:val="E62C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06039"/>
    <w:multiLevelType w:val="multilevel"/>
    <w:tmpl w:val="8E4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F35B8"/>
    <w:multiLevelType w:val="multilevel"/>
    <w:tmpl w:val="4120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92906"/>
    <w:multiLevelType w:val="hybridMultilevel"/>
    <w:tmpl w:val="05BA3260"/>
    <w:lvl w:ilvl="0" w:tplc="D552450C">
      <w:start w:val="1"/>
      <w:numFmt w:val="decimal"/>
      <w:lvlText w:val="%1."/>
      <w:lvlJc w:val="left"/>
      <w:pPr>
        <w:ind w:left="722"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3508F49E">
      <w:numFmt w:val="bullet"/>
      <w:lvlText w:val="•"/>
      <w:lvlJc w:val="left"/>
      <w:pPr>
        <w:ind w:left="1597" w:hanging="360"/>
      </w:pPr>
      <w:rPr>
        <w:rFonts w:hint="default"/>
        <w:lang w:val="ru-RU" w:eastAsia="en-US" w:bidi="ar-SA"/>
      </w:rPr>
    </w:lvl>
    <w:lvl w:ilvl="2" w:tplc="1416DEA4">
      <w:numFmt w:val="bullet"/>
      <w:lvlText w:val="•"/>
      <w:lvlJc w:val="left"/>
      <w:pPr>
        <w:ind w:left="2474" w:hanging="360"/>
      </w:pPr>
      <w:rPr>
        <w:rFonts w:hint="default"/>
        <w:lang w:val="ru-RU" w:eastAsia="en-US" w:bidi="ar-SA"/>
      </w:rPr>
    </w:lvl>
    <w:lvl w:ilvl="3" w:tplc="BE52FA38">
      <w:numFmt w:val="bullet"/>
      <w:lvlText w:val="•"/>
      <w:lvlJc w:val="left"/>
      <w:pPr>
        <w:ind w:left="3351" w:hanging="360"/>
      </w:pPr>
      <w:rPr>
        <w:rFonts w:hint="default"/>
        <w:lang w:val="ru-RU" w:eastAsia="en-US" w:bidi="ar-SA"/>
      </w:rPr>
    </w:lvl>
    <w:lvl w:ilvl="4" w:tplc="DFAC6EDC">
      <w:numFmt w:val="bullet"/>
      <w:lvlText w:val="•"/>
      <w:lvlJc w:val="left"/>
      <w:pPr>
        <w:ind w:left="4228" w:hanging="360"/>
      </w:pPr>
      <w:rPr>
        <w:rFonts w:hint="default"/>
        <w:lang w:val="ru-RU" w:eastAsia="en-US" w:bidi="ar-SA"/>
      </w:rPr>
    </w:lvl>
    <w:lvl w:ilvl="5" w:tplc="4CB632CE">
      <w:numFmt w:val="bullet"/>
      <w:lvlText w:val="•"/>
      <w:lvlJc w:val="left"/>
      <w:pPr>
        <w:ind w:left="5105" w:hanging="360"/>
      </w:pPr>
      <w:rPr>
        <w:rFonts w:hint="default"/>
        <w:lang w:val="ru-RU" w:eastAsia="en-US" w:bidi="ar-SA"/>
      </w:rPr>
    </w:lvl>
    <w:lvl w:ilvl="6" w:tplc="67AE14EA">
      <w:numFmt w:val="bullet"/>
      <w:lvlText w:val="•"/>
      <w:lvlJc w:val="left"/>
      <w:pPr>
        <w:ind w:left="5982" w:hanging="360"/>
      </w:pPr>
      <w:rPr>
        <w:rFonts w:hint="default"/>
        <w:lang w:val="ru-RU" w:eastAsia="en-US" w:bidi="ar-SA"/>
      </w:rPr>
    </w:lvl>
    <w:lvl w:ilvl="7" w:tplc="BAFCFD16">
      <w:numFmt w:val="bullet"/>
      <w:lvlText w:val="•"/>
      <w:lvlJc w:val="left"/>
      <w:pPr>
        <w:ind w:left="6859" w:hanging="360"/>
      </w:pPr>
      <w:rPr>
        <w:rFonts w:hint="default"/>
        <w:lang w:val="ru-RU" w:eastAsia="en-US" w:bidi="ar-SA"/>
      </w:rPr>
    </w:lvl>
    <w:lvl w:ilvl="8" w:tplc="C436BDA2">
      <w:numFmt w:val="bullet"/>
      <w:lvlText w:val="•"/>
      <w:lvlJc w:val="left"/>
      <w:pPr>
        <w:ind w:left="7736" w:hanging="360"/>
      </w:pPr>
      <w:rPr>
        <w:rFonts w:hint="default"/>
        <w:lang w:val="ru-RU" w:eastAsia="en-US" w:bidi="ar-SA"/>
      </w:rPr>
    </w:lvl>
  </w:abstractNum>
  <w:abstractNum w:abstractNumId="10" w15:restartNumberingAfterBreak="0">
    <w:nsid w:val="38B538D4"/>
    <w:multiLevelType w:val="hybridMultilevel"/>
    <w:tmpl w:val="2864F0BE"/>
    <w:lvl w:ilvl="0" w:tplc="290C30C2">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EA6783"/>
    <w:multiLevelType w:val="multilevel"/>
    <w:tmpl w:val="AE18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F4F6C"/>
    <w:multiLevelType w:val="hybridMultilevel"/>
    <w:tmpl w:val="751AE3E0"/>
    <w:lvl w:ilvl="0" w:tplc="C48CBC00">
      <w:start w:val="1"/>
      <w:numFmt w:val="decimal"/>
      <w:lvlText w:val="%1."/>
      <w:lvlJc w:val="left"/>
      <w:pPr>
        <w:ind w:left="2" w:hanging="310"/>
      </w:pPr>
      <w:rPr>
        <w:rFonts w:ascii="Times New Roman" w:eastAsia="Times New Roman" w:hAnsi="Times New Roman" w:cs="Times New Roman" w:hint="default"/>
        <w:b w:val="0"/>
        <w:bCs w:val="0"/>
        <w:i w:val="0"/>
        <w:iCs w:val="0"/>
        <w:spacing w:val="0"/>
        <w:w w:val="100"/>
        <w:sz w:val="28"/>
        <w:szCs w:val="28"/>
        <w:lang w:val="ru-RU" w:eastAsia="en-US" w:bidi="ar-SA"/>
      </w:rPr>
    </w:lvl>
    <w:lvl w:ilvl="1" w:tplc="C344A412">
      <w:numFmt w:val="bullet"/>
      <w:lvlText w:val="•"/>
      <w:lvlJc w:val="left"/>
      <w:pPr>
        <w:ind w:left="949" w:hanging="310"/>
      </w:pPr>
      <w:rPr>
        <w:rFonts w:hint="default"/>
        <w:lang w:val="ru-RU" w:eastAsia="en-US" w:bidi="ar-SA"/>
      </w:rPr>
    </w:lvl>
    <w:lvl w:ilvl="2" w:tplc="C27A4624">
      <w:numFmt w:val="bullet"/>
      <w:lvlText w:val="•"/>
      <w:lvlJc w:val="left"/>
      <w:pPr>
        <w:ind w:left="1898" w:hanging="310"/>
      </w:pPr>
      <w:rPr>
        <w:rFonts w:hint="default"/>
        <w:lang w:val="ru-RU" w:eastAsia="en-US" w:bidi="ar-SA"/>
      </w:rPr>
    </w:lvl>
    <w:lvl w:ilvl="3" w:tplc="5B10D698">
      <w:numFmt w:val="bullet"/>
      <w:lvlText w:val="•"/>
      <w:lvlJc w:val="left"/>
      <w:pPr>
        <w:ind w:left="2847" w:hanging="310"/>
      </w:pPr>
      <w:rPr>
        <w:rFonts w:hint="default"/>
        <w:lang w:val="ru-RU" w:eastAsia="en-US" w:bidi="ar-SA"/>
      </w:rPr>
    </w:lvl>
    <w:lvl w:ilvl="4" w:tplc="0F94F7AA">
      <w:numFmt w:val="bullet"/>
      <w:lvlText w:val="•"/>
      <w:lvlJc w:val="left"/>
      <w:pPr>
        <w:ind w:left="3796" w:hanging="310"/>
      </w:pPr>
      <w:rPr>
        <w:rFonts w:hint="default"/>
        <w:lang w:val="ru-RU" w:eastAsia="en-US" w:bidi="ar-SA"/>
      </w:rPr>
    </w:lvl>
    <w:lvl w:ilvl="5" w:tplc="D5884410">
      <w:numFmt w:val="bullet"/>
      <w:lvlText w:val="•"/>
      <w:lvlJc w:val="left"/>
      <w:pPr>
        <w:ind w:left="4745" w:hanging="310"/>
      </w:pPr>
      <w:rPr>
        <w:rFonts w:hint="default"/>
        <w:lang w:val="ru-RU" w:eastAsia="en-US" w:bidi="ar-SA"/>
      </w:rPr>
    </w:lvl>
    <w:lvl w:ilvl="6" w:tplc="66D45598">
      <w:numFmt w:val="bullet"/>
      <w:lvlText w:val="•"/>
      <w:lvlJc w:val="left"/>
      <w:pPr>
        <w:ind w:left="5694" w:hanging="310"/>
      </w:pPr>
      <w:rPr>
        <w:rFonts w:hint="default"/>
        <w:lang w:val="ru-RU" w:eastAsia="en-US" w:bidi="ar-SA"/>
      </w:rPr>
    </w:lvl>
    <w:lvl w:ilvl="7" w:tplc="2EBA24BA">
      <w:numFmt w:val="bullet"/>
      <w:lvlText w:val="•"/>
      <w:lvlJc w:val="left"/>
      <w:pPr>
        <w:ind w:left="6643" w:hanging="310"/>
      </w:pPr>
      <w:rPr>
        <w:rFonts w:hint="default"/>
        <w:lang w:val="ru-RU" w:eastAsia="en-US" w:bidi="ar-SA"/>
      </w:rPr>
    </w:lvl>
    <w:lvl w:ilvl="8" w:tplc="6FEAFCD6">
      <w:numFmt w:val="bullet"/>
      <w:lvlText w:val="•"/>
      <w:lvlJc w:val="left"/>
      <w:pPr>
        <w:ind w:left="7592" w:hanging="310"/>
      </w:pPr>
      <w:rPr>
        <w:rFonts w:hint="default"/>
        <w:lang w:val="ru-RU" w:eastAsia="en-US" w:bidi="ar-SA"/>
      </w:rPr>
    </w:lvl>
  </w:abstractNum>
  <w:abstractNum w:abstractNumId="13" w15:restartNumberingAfterBreak="0">
    <w:nsid w:val="4FD6180C"/>
    <w:multiLevelType w:val="hybridMultilevel"/>
    <w:tmpl w:val="87B0E73C"/>
    <w:lvl w:ilvl="0" w:tplc="82A8EDBE">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0421D84">
      <w:numFmt w:val="bullet"/>
      <w:lvlText w:val="•"/>
      <w:lvlJc w:val="left"/>
      <w:pPr>
        <w:ind w:left="949" w:hanging="708"/>
      </w:pPr>
      <w:rPr>
        <w:rFonts w:hint="default"/>
        <w:lang w:val="ru-RU" w:eastAsia="en-US" w:bidi="ar-SA"/>
      </w:rPr>
    </w:lvl>
    <w:lvl w:ilvl="2" w:tplc="AAD89820">
      <w:numFmt w:val="bullet"/>
      <w:lvlText w:val="•"/>
      <w:lvlJc w:val="left"/>
      <w:pPr>
        <w:ind w:left="1898" w:hanging="708"/>
      </w:pPr>
      <w:rPr>
        <w:rFonts w:hint="default"/>
        <w:lang w:val="ru-RU" w:eastAsia="en-US" w:bidi="ar-SA"/>
      </w:rPr>
    </w:lvl>
    <w:lvl w:ilvl="3" w:tplc="84CCFD36">
      <w:numFmt w:val="bullet"/>
      <w:lvlText w:val="•"/>
      <w:lvlJc w:val="left"/>
      <w:pPr>
        <w:ind w:left="2847" w:hanging="708"/>
      </w:pPr>
      <w:rPr>
        <w:rFonts w:hint="default"/>
        <w:lang w:val="ru-RU" w:eastAsia="en-US" w:bidi="ar-SA"/>
      </w:rPr>
    </w:lvl>
    <w:lvl w:ilvl="4" w:tplc="A4EC8F9A">
      <w:numFmt w:val="bullet"/>
      <w:lvlText w:val="•"/>
      <w:lvlJc w:val="left"/>
      <w:pPr>
        <w:ind w:left="3796" w:hanging="708"/>
      </w:pPr>
      <w:rPr>
        <w:rFonts w:hint="default"/>
        <w:lang w:val="ru-RU" w:eastAsia="en-US" w:bidi="ar-SA"/>
      </w:rPr>
    </w:lvl>
    <w:lvl w:ilvl="5" w:tplc="B134B406">
      <w:numFmt w:val="bullet"/>
      <w:lvlText w:val="•"/>
      <w:lvlJc w:val="left"/>
      <w:pPr>
        <w:ind w:left="4745" w:hanging="708"/>
      </w:pPr>
      <w:rPr>
        <w:rFonts w:hint="default"/>
        <w:lang w:val="ru-RU" w:eastAsia="en-US" w:bidi="ar-SA"/>
      </w:rPr>
    </w:lvl>
    <w:lvl w:ilvl="6" w:tplc="C10A3EB0">
      <w:numFmt w:val="bullet"/>
      <w:lvlText w:val="•"/>
      <w:lvlJc w:val="left"/>
      <w:pPr>
        <w:ind w:left="5694" w:hanging="708"/>
      </w:pPr>
      <w:rPr>
        <w:rFonts w:hint="default"/>
        <w:lang w:val="ru-RU" w:eastAsia="en-US" w:bidi="ar-SA"/>
      </w:rPr>
    </w:lvl>
    <w:lvl w:ilvl="7" w:tplc="5832F59E">
      <w:numFmt w:val="bullet"/>
      <w:lvlText w:val="•"/>
      <w:lvlJc w:val="left"/>
      <w:pPr>
        <w:ind w:left="6643" w:hanging="708"/>
      </w:pPr>
      <w:rPr>
        <w:rFonts w:hint="default"/>
        <w:lang w:val="ru-RU" w:eastAsia="en-US" w:bidi="ar-SA"/>
      </w:rPr>
    </w:lvl>
    <w:lvl w:ilvl="8" w:tplc="7814275A">
      <w:numFmt w:val="bullet"/>
      <w:lvlText w:val="•"/>
      <w:lvlJc w:val="left"/>
      <w:pPr>
        <w:ind w:left="7592" w:hanging="708"/>
      </w:pPr>
      <w:rPr>
        <w:rFonts w:hint="default"/>
        <w:lang w:val="ru-RU" w:eastAsia="en-US" w:bidi="ar-SA"/>
      </w:rPr>
    </w:lvl>
  </w:abstractNum>
  <w:abstractNum w:abstractNumId="14" w15:restartNumberingAfterBreak="0">
    <w:nsid w:val="6F8F10B7"/>
    <w:multiLevelType w:val="multilevel"/>
    <w:tmpl w:val="CAD4C068"/>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7" w:hanging="624"/>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15:restartNumberingAfterBreak="0">
    <w:nsid w:val="70DC6C65"/>
    <w:multiLevelType w:val="multilevel"/>
    <w:tmpl w:val="19E60E54"/>
    <w:lvl w:ilvl="0">
      <w:start w:val="1"/>
      <w:numFmt w:val="decimal"/>
      <w:lvlText w:val="%1)"/>
      <w:lvlJc w:val="left"/>
      <w:pPr>
        <w:tabs>
          <w:tab w:val="num" w:pos="720"/>
        </w:tabs>
        <w:ind w:left="720" w:hanging="360"/>
      </w:pPr>
      <w:rPr>
        <w:rFonts w:hint="default"/>
        <w:spacing w:val="0"/>
        <w:kern w:val="0"/>
        <w:sz w:val="28"/>
        <w:szCs w:val="28"/>
        <w14:stylisticSets>
          <w14:styleSet w14:id="1"/>
        </w14:stylisticSets>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53BC8"/>
    <w:multiLevelType w:val="multilevel"/>
    <w:tmpl w:val="642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4124A"/>
    <w:multiLevelType w:val="multilevel"/>
    <w:tmpl w:val="91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41773C"/>
    <w:multiLevelType w:val="multilevel"/>
    <w:tmpl w:val="FB66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480F85"/>
    <w:multiLevelType w:val="multilevel"/>
    <w:tmpl w:val="3A1A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553AC6"/>
    <w:multiLevelType w:val="multilevel"/>
    <w:tmpl w:val="FDA0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A944FC"/>
    <w:multiLevelType w:val="multilevel"/>
    <w:tmpl w:val="86BE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B1EFE"/>
    <w:multiLevelType w:val="hybridMultilevel"/>
    <w:tmpl w:val="6A687A14"/>
    <w:lvl w:ilvl="0" w:tplc="EF0E6B0C">
      <w:start w:val="1"/>
      <w:numFmt w:val="decimal"/>
      <w:lvlText w:val="%1."/>
      <w:lvlJc w:val="left"/>
      <w:pPr>
        <w:ind w:left="2"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4642DB8A">
      <w:numFmt w:val="bullet"/>
      <w:lvlText w:val="•"/>
      <w:lvlJc w:val="left"/>
      <w:pPr>
        <w:ind w:left="949" w:hanging="213"/>
      </w:pPr>
      <w:rPr>
        <w:rFonts w:hint="default"/>
        <w:lang w:val="ru-RU" w:eastAsia="en-US" w:bidi="ar-SA"/>
      </w:rPr>
    </w:lvl>
    <w:lvl w:ilvl="2" w:tplc="E1FC2500">
      <w:numFmt w:val="bullet"/>
      <w:lvlText w:val="•"/>
      <w:lvlJc w:val="left"/>
      <w:pPr>
        <w:ind w:left="1898" w:hanging="213"/>
      </w:pPr>
      <w:rPr>
        <w:rFonts w:hint="default"/>
        <w:lang w:val="ru-RU" w:eastAsia="en-US" w:bidi="ar-SA"/>
      </w:rPr>
    </w:lvl>
    <w:lvl w:ilvl="3" w:tplc="DA940A92">
      <w:numFmt w:val="bullet"/>
      <w:lvlText w:val="•"/>
      <w:lvlJc w:val="left"/>
      <w:pPr>
        <w:ind w:left="2847" w:hanging="213"/>
      </w:pPr>
      <w:rPr>
        <w:rFonts w:hint="default"/>
        <w:lang w:val="ru-RU" w:eastAsia="en-US" w:bidi="ar-SA"/>
      </w:rPr>
    </w:lvl>
    <w:lvl w:ilvl="4" w:tplc="EB56E6DA">
      <w:numFmt w:val="bullet"/>
      <w:lvlText w:val="•"/>
      <w:lvlJc w:val="left"/>
      <w:pPr>
        <w:ind w:left="3796" w:hanging="213"/>
      </w:pPr>
      <w:rPr>
        <w:rFonts w:hint="default"/>
        <w:lang w:val="ru-RU" w:eastAsia="en-US" w:bidi="ar-SA"/>
      </w:rPr>
    </w:lvl>
    <w:lvl w:ilvl="5" w:tplc="EA9279EA">
      <w:numFmt w:val="bullet"/>
      <w:lvlText w:val="•"/>
      <w:lvlJc w:val="left"/>
      <w:pPr>
        <w:ind w:left="4745" w:hanging="213"/>
      </w:pPr>
      <w:rPr>
        <w:rFonts w:hint="default"/>
        <w:lang w:val="ru-RU" w:eastAsia="en-US" w:bidi="ar-SA"/>
      </w:rPr>
    </w:lvl>
    <w:lvl w:ilvl="6" w:tplc="ABCE8FB8">
      <w:numFmt w:val="bullet"/>
      <w:lvlText w:val="•"/>
      <w:lvlJc w:val="left"/>
      <w:pPr>
        <w:ind w:left="5694" w:hanging="213"/>
      </w:pPr>
      <w:rPr>
        <w:rFonts w:hint="default"/>
        <w:lang w:val="ru-RU" w:eastAsia="en-US" w:bidi="ar-SA"/>
      </w:rPr>
    </w:lvl>
    <w:lvl w:ilvl="7" w:tplc="2E7CDAC4">
      <w:numFmt w:val="bullet"/>
      <w:lvlText w:val="•"/>
      <w:lvlJc w:val="left"/>
      <w:pPr>
        <w:ind w:left="6643" w:hanging="213"/>
      </w:pPr>
      <w:rPr>
        <w:rFonts w:hint="default"/>
        <w:lang w:val="ru-RU" w:eastAsia="en-US" w:bidi="ar-SA"/>
      </w:rPr>
    </w:lvl>
    <w:lvl w:ilvl="8" w:tplc="16483D14">
      <w:numFmt w:val="bullet"/>
      <w:lvlText w:val="•"/>
      <w:lvlJc w:val="left"/>
      <w:pPr>
        <w:ind w:left="7592" w:hanging="213"/>
      </w:pPr>
      <w:rPr>
        <w:rFonts w:hint="default"/>
        <w:lang w:val="ru-RU" w:eastAsia="en-US" w:bidi="ar-SA"/>
      </w:rPr>
    </w:lvl>
  </w:abstractNum>
  <w:abstractNum w:abstractNumId="23" w15:restartNumberingAfterBreak="0">
    <w:nsid w:val="7EB37C7D"/>
    <w:multiLevelType w:val="hybridMultilevel"/>
    <w:tmpl w:val="2AE02010"/>
    <w:lvl w:ilvl="0" w:tplc="918ABE0C">
      <w:start w:val="1"/>
      <w:numFmt w:val="decimal"/>
      <w:lvlText w:val="%1."/>
      <w:lvlJc w:val="left"/>
      <w:pPr>
        <w:ind w:left="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AA02B84">
      <w:numFmt w:val="bullet"/>
      <w:lvlText w:val="•"/>
      <w:lvlJc w:val="left"/>
      <w:pPr>
        <w:ind w:left="949" w:hanging="425"/>
      </w:pPr>
      <w:rPr>
        <w:rFonts w:hint="default"/>
        <w:lang w:val="ru-RU" w:eastAsia="en-US" w:bidi="ar-SA"/>
      </w:rPr>
    </w:lvl>
    <w:lvl w:ilvl="2" w:tplc="DA2660FA">
      <w:numFmt w:val="bullet"/>
      <w:lvlText w:val="•"/>
      <w:lvlJc w:val="left"/>
      <w:pPr>
        <w:ind w:left="1898" w:hanging="425"/>
      </w:pPr>
      <w:rPr>
        <w:rFonts w:hint="default"/>
        <w:lang w:val="ru-RU" w:eastAsia="en-US" w:bidi="ar-SA"/>
      </w:rPr>
    </w:lvl>
    <w:lvl w:ilvl="3" w:tplc="BB622FE2">
      <w:numFmt w:val="bullet"/>
      <w:lvlText w:val="•"/>
      <w:lvlJc w:val="left"/>
      <w:pPr>
        <w:ind w:left="2847" w:hanging="425"/>
      </w:pPr>
      <w:rPr>
        <w:rFonts w:hint="default"/>
        <w:lang w:val="ru-RU" w:eastAsia="en-US" w:bidi="ar-SA"/>
      </w:rPr>
    </w:lvl>
    <w:lvl w:ilvl="4" w:tplc="52BEAC4C">
      <w:numFmt w:val="bullet"/>
      <w:lvlText w:val="•"/>
      <w:lvlJc w:val="left"/>
      <w:pPr>
        <w:ind w:left="3796" w:hanging="425"/>
      </w:pPr>
      <w:rPr>
        <w:rFonts w:hint="default"/>
        <w:lang w:val="ru-RU" w:eastAsia="en-US" w:bidi="ar-SA"/>
      </w:rPr>
    </w:lvl>
    <w:lvl w:ilvl="5" w:tplc="4E768338">
      <w:numFmt w:val="bullet"/>
      <w:lvlText w:val="•"/>
      <w:lvlJc w:val="left"/>
      <w:pPr>
        <w:ind w:left="4745" w:hanging="425"/>
      </w:pPr>
      <w:rPr>
        <w:rFonts w:hint="default"/>
        <w:lang w:val="ru-RU" w:eastAsia="en-US" w:bidi="ar-SA"/>
      </w:rPr>
    </w:lvl>
    <w:lvl w:ilvl="6" w:tplc="999689E6">
      <w:numFmt w:val="bullet"/>
      <w:lvlText w:val="•"/>
      <w:lvlJc w:val="left"/>
      <w:pPr>
        <w:ind w:left="5694" w:hanging="425"/>
      </w:pPr>
      <w:rPr>
        <w:rFonts w:hint="default"/>
        <w:lang w:val="ru-RU" w:eastAsia="en-US" w:bidi="ar-SA"/>
      </w:rPr>
    </w:lvl>
    <w:lvl w:ilvl="7" w:tplc="D70C8536">
      <w:numFmt w:val="bullet"/>
      <w:lvlText w:val="•"/>
      <w:lvlJc w:val="left"/>
      <w:pPr>
        <w:ind w:left="6643" w:hanging="425"/>
      </w:pPr>
      <w:rPr>
        <w:rFonts w:hint="default"/>
        <w:lang w:val="ru-RU" w:eastAsia="en-US" w:bidi="ar-SA"/>
      </w:rPr>
    </w:lvl>
    <w:lvl w:ilvl="8" w:tplc="D76A9322">
      <w:numFmt w:val="bullet"/>
      <w:lvlText w:val="•"/>
      <w:lvlJc w:val="left"/>
      <w:pPr>
        <w:ind w:left="7592" w:hanging="425"/>
      </w:pPr>
      <w:rPr>
        <w:rFonts w:hint="default"/>
        <w:lang w:val="ru-RU" w:eastAsia="en-US" w:bidi="ar-SA"/>
      </w:rPr>
    </w:lvl>
  </w:abstractNum>
  <w:abstractNum w:abstractNumId="24" w15:restartNumberingAfterBreak="0">
    <w:nsid w:val="7F007758"/>
    <w:multiLevelType w:val="multilevel"/>
    <w:tmpl w:val="5824F54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23" w:hanging="756"/>
      </w:pPr>
      <w:rPr>
        <w:rFonts w:hint="default"/>
      </w:rPr>
    </w:lvl>
    <w:lvl w:ilvl="2">
      <w:start w:val="1"/>
      <w:numFmt w:val="decimal"/>
      <w:isLgl/>
      <w:lvlText w:val="%1.%2.%3."/>
      <w:lvlJc w:val="left"/>
      <w:pPr>
        <w:ind w:left="1530" w:hanging="756"/>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FF814F3"/>
    <w:multiLevelType w:val="multilevel"/>
    <w:tmpl w:val="C736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23"/>
  </w:num>
  <w:num w:numId="5">
    <w:abstractNumId w:val="22"/>
  </w:num>
  <w:num w:numId="6">
    <w:abstractNumId w:val="2"/>
  </w:num>
  <w:num w:numId="7">
    <w:abstractNumId w:val="15"/>
  </w:num>
  <w:num w:numId="8">
    <w:abstractNumId w:val="3"/>
  </w:num>
  <w:num w:numId="9">
    <w:abstractNumId w:val="24"/>
  </w:num>
  <w:num w:numId="10">
    <w:abstractNumId w:val="14"/>
  </w:num>
  <w:num w:numId="11">
    <w:abstractNumId w:val="10"/>
  </w:num>
  <w:num w:numId="12">
    <w:abstractNumId w:val="25"/>
  </w:num>
  <w:num w:numId="13">
    <w:abstractNumId w:val="16"/>
  </w:num>
  <w:num w:numId="14">
    <w:abstractNumId w:val="1"/>
  </w:num>
  <w:num w:numId="15">
    <w:abstractNumId w:val="21"/>
  </w:num>
  <w:num w:numId="16">
    <w:abstractNumId w:val="8"/>
  </w:num>
  <w:num w:numId="17">
    <w:abstractNumId w:val="11"/>
  </w:num>
  <w:num w:numId="18">
    <w:abstractNumId w:val="17"/>
  </w:num>
  <w:num w:numId="19">
    <w:abstractNumId w:val="6"/>
  </w:num>
  <w:num w:numId="20">
    <w:abstractNumId w:val="19"/>
  </w:num>
  <w:num w:numId="21">
    <w:abstractNumId w:val="20"/>
  </w:num>
  <w:num w:numId="22">
    <w:abstractNumId w:val="5"/>
  </w:num>
  <w:num w:numId="23">
    <w:abstractNumId w:val="4"/>
  </w:num>
  <w:num w:numId="24">
    <w:abstractNumId w:val="7"/>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49"/>
    <w:rsid w:val="00057393"/>
    <w:rsid w:val="000B41FC"/>
    <w:rsid w:val="000D4809"/>
    <w:rsid w:val="000D795B"/>
    <w:rsid w:val="00113AC0"/>
    <w:rsid w:val="001763C1"/>
    <w:rsid w:val="00183DDC"/>
    <w:rsid w:val="001F7F98"/>
    <w:rsid w:val="00225F61"/>
    <w:rsid w:val="002566D9"/>
    <w:rsid w:val="00257A9A"/>
    <w:rsid w:val="003858D5"/>
    <w:rsid w:val="003A07AD"/>
    <w:rsid w:val="003F0584"/>
    <w:rsid w:val="00497127"/>
    <w:rsid w:val="005975B4"/>
    <w:rsid w:val="005B2A2F"/>
    <w:rsid w:val="005D20FE"/>
    <w:rsid w:val="0065322A"/>
    <w:rsid w:val="0068186B"/>
    <w:rsid w:val="008A6D7A"/>
    <w:rsid w:val="008D6833"/>
    <w:rsid w:val="00987493"/>
    <w:rsid w:val="00A07018"/>
    <w:rsid w:val="00A404DD"/>
    <w:rsid w:val="00A42C31"/>
    <w:rsid w:val="00A64664"/>
    <w:rsid w:val="00A6780C"/>
    <w:rsid w:val="00AD6C50"/>
    <w:rsid w:val="00B04E24"/>
    <w:rsid w:val="00B31359"/>
    <w:rsid w:val="00BC2E1F"/>
    <w:rsid w:val="00CD34C8"/>
    <w:rsid w:val="00CF4821"/>
    <w:rsid w:val="00D82099"/>
    <w:rsid w:val="00DA6AC7"/>
    <w:rsid w:val="00E20649"/>
    <w:rsid w:val="00E3354B"/>
    <w:rsid w:val="00EE1C06"/>
    <w:rsid w:val="00F44051"/>
    <w:rsid w:val="00F643B3"/>
    <w:rsid w:val="00F6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6DBE"/>
  <w15:docId w15:val="{E15F9118-8B12-4FD9-BF17-D312BCA6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outlineLvl w:val="0"/>
    </w:pPr>
    <w:rPr>
      <w:b/>
      <w:bCs/>
      <w:sz w:val="28"/>
      <w:szCs w:val="28"/>
    </w:rPr>
  </w:style>
  <w:style w:type="paragraph" w:styleId="2">
    <w:name w:val="heading 2"/>
    <w:basedOn w:val="a"/>
    <w:next w:val="a"/>
    <w:link w:val="20"/>
    <w:uiPriority w:val="9"/>
    <w:semiHidden/>
    <w:unhideWhenUsed/>
    <w:qFormat/>
    <w:rsid w:val="000D79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820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721" w:right="134" w:hanging="360"/>
      <w:jc w:val="both"/>
    </w:pPr>
  </w:style>
  <w:style w:type="paragraph" w:customStyle="1" w:styleId="TableParagraph">
    <w:name w:val="Table Paragraph"/>
    <w:basedOn w:val="a"/>
    <w:uiPriority w:val="1"/>
    <w:qFormat/>
  </w:style>
  <w:style w:type="paragraph" w:styleId="a5">
    <w:name w:val="Normal (Web)"/>
    <w:basedOn w:val="a"/>
    <w:uiPriority w:val="99"/>
    <w:unhideWhenUsed/>
    <w:rsid w:val="000D4809"/>
    <w:pPr>
      <w:widowControl/>
      <w:autoSpaceDE/>
      <w:autoSpaceDN/>
      <w:spacing w:before="100" w:beforeAutospacing="1" w:after="100" w:afterAutospacing="1"/>
    </w:pPr>
    <w:rPr>
      <w:sz w:val="24"/>
      <w:szCs w:val="24"/>
      <w:lang w:eastAsia="ru-RU"/>
    </w:rPr>
  </w:style>
  <w:style w:type="character" w:styleId="a6">
    <w:name w:val="Hyperlink"/>
    <w:basedOn w:val="a0"/>
    <w:uiPriority w:val="99"/>
    <w:unhideWhenUsed/>
    <w:rsid w:val="003858D5"/>
    <w:rPr>
      <w:color w:val="0000FF" w:themeColor="hyperlink"/>
      <w:u w:val="single"/>
    </w:rPr>
  </w:style>
  <w:style w:type="character" w:styleId="a7">
    <w:name w:val="Unresolved Mention"/>
    <w:basedOn w:val="a0"/>
    <w:uiPriority w:val="99"/>
    <w:semiHidden/>
    <w:unhideWhenUsed/>
    <w:rsid w:val="003858D5"/>
    <w:rPr>
      <w:color w:val="605E5C"/>
      <w:shd w:val="clear" w:color="auto" w:fill="E1DFDD"/>
    </w:rPr>
  </w:style>
  <w:style w:type="character" w:customStyle="1" w:styleId="20">
    <w:name w:val="Заголовок 2 Знак"/>
    <w:basedOn w:val="a0"/>
    <w:link w:val="2"/>
    <w:uiPriority w:val="9"/>
    <w:semiHidden/>
    <w:rsid w:val="000D795B"/>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D82099"/>
    <w:rPr>
      <w:rFonts w:asciiTheme="majorHAnsi" w:eastAsiaTheme="majorEastAsia" w:hAnsiTheme="majorHAnsi" w:cstheme="majorBidi"/>
      <w:color w:val="243F60" w:themeColor="accent1" w:themeShade="7F"/>
      <w:sz w:val="24"/>
      <w:szCs w:val="24"/>
      <w:lang w:val="ru-RU"/>
    </w:rPr>
  </w:style>
  <w:style w:type="character" w:styleId="a8">
    <w:name w:val="Strong"/>
    <w:basedOn w:val="a0"/>
    <w:uiPriority w:val="22"/>
    <w:qFormat/>
    <w:rsid w:val="00D82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6155">
      <w:bodyDiv w:val="1"/>
      <w:marLeft w:val="0"/>
      <w:marRight w:val="0"/>
      <w:marTop w:val="0"/>
      <w:marBottom w:val="0"/>
      <w:divBdr>
        <w:top w:val="none" w:sz="0" w:space="0" w:color="auto"/>
        <w:left w:val="none" w:sz="0" w:space="0" w:color="auto"/>
        <w:bottom w:val="none" w:sz="0" w:space="0" w:color="auto"/>
        <w:right w:val="none" w:sz="0" w:space="0" w:color="auto"/>
      </w:divBdr>
    </w:div>
    <w:div w:id="134878610">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477188123">
      <w:bodyDiv w:val="1"/>
      <w:marLeft w:val="0"/>
      <w:marRight w:val="0"/>
      <w:marTop w:val="0"/>
      <w:marBottom w:val="0"/>
      <w:divBdr>
        <w:top w:val="none" w:sz="0" w:space="0" w:color="auto"/>
        <w:left w:val="none" w:sz="0" w:space="0" w:color="auto"/>
        <w:bottom w:val="none" w:sz="0" w:space="0" w:color="auto"/>
        <w:right w:val="none" w:sz="0" w:space="0" w:color="auto"/>
      </w:divBdr>
    </w:div>
    <w:div w:id="485979434">
      <w:bodyDiv w:val="1"/>
      <w:marLeft w:val="0"/>
      <w:marRight w:val="0"/>
      <w:marTop w:val="0"/>
      <w:marBottom w:val="0"/>
      <w:divBdr>
        <w:top w:val="none" w:sz="0" w:space="0" w:color="auto"/>
        <w:left w:val="none" w:sz="0" w:space="0" w:color="auto"/>
        <w:bottom w:val="none" w:sz="0" w:space="0" w:color="auto"/>
        <w:right w:val="none" w:sz="0" w:space="0" w:color="auto"/>
      </w:divBdr>
    </w:div>
    <w:div w:id="532420874">
      <w:bodyDiv w:val="1"/>
      <w:marLeft w:val="0"/>
      <w:marRight w:val="0"/>
      <w:marTop w:val="0"/>
      <w:marBottom w:val="0"/>
      <w:divBdr>
        <w:top w:val="none" w:sz="0" w:space="0" w:color="auto"/>
        <w:left w:val="none" w:sz="0" w:space="0" w:color="auto"/>
        <w:bottom w:val="none" w:sz="0" w:space="0" w:color="auto"/>
        <w:right w:val="none" w:sz="0" w:space="0" w:color="auto"/>
      </w:divBdr>
    </w:div>
    <w:div w:id="800728314">
      <w:bodyDiv w:val="1"/>
      <w:marLeft w:val="0"/>
      <w:marRight w:val="0"/>
      <w:marTop w:val="0"/>
      <w:marBottom w:val="0"/>
      <w:divBdr>
        <w:top w:val="none" w:sz="0" w:space="0" w:color="auto"/>
        <w:left w:val="none" w:sz="0" w:space="0" w:color="auto"/>
        <w:bottom w:val="none" w:sz="0" w:space="0" w:color="auto"/>
        <w:right w:val="none" w:sz="0" w:space="0" w:color="auto"/>
      </w:divBdr>
    </w:div>
    <w:div w:id="844249634">
      <w:bodyDiv w:val="1"/>
      <w:marLeft w:val="0"/>
      <w:marRight w:val="0"/>
      <w:marTop w:val="0"/>
      <w:marBottom w:val="0"/>
      <w:divBdr>
        <w:top w:val="none" w:sz="0" w:space="0" w:color="auto"/>
        <w:left w:val="none" w:sz="0" w:space="0" w:color="auto"/>
        <w:bottom w:val="none" w:sz="0" w:space="0" w:color="auto"/>
        <w:right w:val="none" w:sz="0" w:space="0" w:color="auto"/>
      </w:divBdr>
    </w:div>
    <w:div w:id="920213083">
      <w:bodyDiv w:val="1"/>
      <w:marLeft w:val="0"/>
      <w:marRight w:val="0"/>
      <w:marTop w:val="0"/>
      <w:marBottom w:val="0"/>
      <w:divBdr>
        <w:top w:val="none" w:sz="0" w:space="0" w:color="auto"/>
        <w:left w:val="none" w:sz="0" w:space="0" w:color="auto"/>
        <w:bottom w:val="none" w:sz="0" w:space="0" w:color="auto"/>
        <w:right w:val="none" w:sz="0" w:space="0" w:color="auto"/>
      </w:divBdr>
    </w:div>
    <w:div w:id="1119059547">
      <w:bodyDiv w:val="1"/>
      <w:marLeft w:val="0"/>
      <w:marRight w:val="0"/>
      <w:marTop w:val="0"/>
      <w:marBottom w:val="0"/>
      <w:divBdr>
        <w:top w:val="none" w:sz="0" w:space="0" w:color="auto"/>
        <w:left w:val="none" w:sz="0" w:space="0" w:color="auto"/>
        <w:bottom w:val="none" w:sz="0" w:space="0" w:color="auto"/>
        <w:right w:val="none" w:sz="0" w:space="0" w:color="auto"/>
      </w:divBdr>
    </w:div>
    <w:div w:id="1373069627">
      <w:bodyDiv w:val="1"/>
      <w:marLeft w:val="0"/>
      <w:marRight w:val="0"/>
      <w:marTop w:val="0"/>
      <w:marBottom w:val="0"/>
      <w:divBdr>
        <w:top w:val="none" w:sz="0" w:space="0" w:color="auto"/>
        <w:left w:val="none" w:sz="0" w:space="0" w:color="auto"/>
        <w:bottom w:val="none" w:sz="0" w:space="0" w:color="auto"/>
        <w:right w:val="none" w:sz="0" w:space="0" w:color="auto"/>
      </w:divBdr>
    </w:div>
    <w:div w:id="1414668345">
      <w:bodyDiv w:val="1"/>
      <w:marLeft w:val="0"/>
      <w:marRight w:val="0"/>
      <w:marTop w:val="0"/>
      <w:marBottom w:val="0"/>
      <w:divBdr>
        <w:top w:val="none" w:sz="0" w:space="0" w:color="auto"/>
        <w:left w:val="none" w:sz="0" w:space="0" w:color="auto"/>
        <w:bottom w:val="none" w:sz="0" w:space="0" w:color="auto"/>
        <w:right w:val="none" w:sz="0" w:space="0" w:color="auto"/>
      </w:divBdr>
    </w:div>
    <w:div w:id="1616446689">
      <w:bodyDiv w:val="1"/>
      <w:marLeft w:val="0"/>
      <w:marRight w:val="0"/>
      <w:marTop w:val="0"/>
      <w:marBottom w:val="0"/>
      <w:divBdr>
        <w:top w:val="none" w:sz="0" w:space="0" w:color="auto"/>
        <w:left w:val="none" w:sz="0" w:space="0" w:color="auto"/>
        <w:bottom w:val="none" w:sz="0" w:space="0" w:color="auto"/>
        <w:right w:val="none" w:sz="0" w:space="0" w:color="auto"/>
      </w:divBdr>
    </w:div>
    <w:div w:id="1619144064">
      <w:bodyDiv w:val="1"/>
      <w:marLeft w:val="0"/>
      <w:marRight w:val="0"/>
      <w:marTop w:val="0"/>
      <w:marBottom w:val="0"/>
      <w:divBdr>
        <w:top w:val="none" w:sz="0" w:space="0" w:color="auto"/>
        <w:left w:val="none" w:sz="0" w:space="0" w:color="auto"/>
        <w:bottom w:val="none" w:sz="0" w:space="0" w:color="auto"/>
        <w:right w:val="none" w:sz="0" w:space="0" w:color="auto"/>
      </w:divBdr>
    </w:div>
    <w:div w:id="1651977296">
      <w:bodyDiv w:val="1"/>
      <w:marLeft w:val="0"/>
      <w:marRight w:val="0"/>
      <w:marTop w:val="0"/>
      <w:marBottom w:val="0"/>
      <w:divBdr>
        <w:top w:val="none" w:sz="0" w:space="0" w:color="auto"/>
        <w:left w:val="none" w:sz="0" w:space="0" w:color="auto"/>
        <w:bottom w:val="none" w:sz="0" w:space="0" w:color="auto"/>
        <w:right w:val="none" w:sz="0" w:space="0" w:color="auto"/>
      </w:divBdr>
    </w:div>
    <w:div w:id="1832863491">
      <w:bodyDiv w:val="1"/>
      <w:marLeft w:val="0"/>
      <w:marRight w:val="0"/>
      <w:marTop w:val="0"/>
      <w:marBottom w:val="0"/>
      <w:divBdr>
        <w:top w:val="none" w:sz="0" w:space="0" w:color="auto"/>
        <w:left w:val="none" w:sz="0" w:space="0" w:color="auto"/>
        <w:bottom w:val="none" w:sz="0" w:space="0" w:color="auto"/>
        <w:right w:val="none" w:sz="0" w:space="0" w:color="auto"/>
      </w:divBdr>
    </w:div>
    <w:div w:id="1859154838">
      <w:bodyDiv w:val="1"/>
      <w:marLeft w:val="0"/>
      <w:marRight w:val="0"/>
      <w:marTop w:val="0"/>
      <w:marBottom w:val="0"/>
      <w:divBdr>
        <w:top w:val="none" w:sz="0" w:space="0" w:color="auto"/>
        <w:left w:val="none" w:sz="0" w:space="0" w:color="auto"/>
        <w:bottom w:val="none" w:sz="0" w:space="0" w:color="auto"/>
        <w:right w:val="none" w:sz="0" w:space="0" w:color="auto"/>
      </w:divBdr>
    </w:div>
    <w:div w:id="1877815817">
      <w:bodyDiv w:val="1"/>
      <w:marLeft w:val="0"/>
      <w:marRight w:val="0"/>
      <w:marTop w:val="0"/>
      <w:marBottom w:val="0"/>
      <w:divBdr>
        <w:top w:val="none" w:sz="0" w:space="0" w:color="auto"/>
        <w:left w:val="none" w:sz="0" w:space="0" w:color="auto"/>
        <w:bottom w:val="none" w:sz="0" w:space="0" w:color="auto"/>
        <w:right w:val="none" w:sz="0" w:space="0" w:color="auto"/>
      </w:divBdr>
    </w:div>
    <w:div w:id="213975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vid19.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5102</Words>
  <Characters>29082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Тургунов Ермек</dc:creator>
  <cp:lastModifiedBy>User</cp:lastModifiedBy>
  <cp:revision>30</cp:revision>
  <dcterms:created xsi:type="dcterms:W3CDTF">2026-02-22T05:07:00Z</dcterms:created>
  <dcterms:modified xsi:type="dcterms:W3CDTF">2026-02-25T05:52:00Z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